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方正黑体_GBK" w:hAnsi="方正仿宋_GBK" w:eastAsia="方正黑体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仿宋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安徽省大学生学科和技能竞赛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工作总结报告内容提纲</w:t>
      </w:r>
    </w:p>
    <w:p>
      <w:pPr>
        <w:widowControl/>
        <w:shd w:val="clear" w:color="auto" w:fill="FFFFFF"/>
        <w:spacing w:line="500" w:lineRule="exact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一、竞赛基本情况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、竞赛规模及参与情况（参与高校数、学生数、团队数、指导教师数、专业覆盖情况等）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、竞赛获奖情况（奖项设置情况，获奖覆盖学校情况，与往年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届竞赛的纵向比较情况等）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二、竞赛组织实施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、竞赛组织安排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、评审专家安排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、比赛秩序、竞赛纪律与公平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、竞赛宣传推广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、其他（包括财经纪律情况）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三、成果及特色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、安徽省参加国赛的参与情况及获奖情况（与其他省份的横向比较、与往年竞赛的纵向变化情况）及竞赛的影响力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、在创新创业教育及人次培养方面的成效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、对以赛促教、以赛促学、以赛促改及以赛促建的意义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、竞赛优秀典型案例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、竞赛特色总结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四、存在的问题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五、改进措施及未来工作计划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27A5"/>
    <w:rsid w:val="00A22194"/>
    <w:rsid w:val="00FB466E"/>
    <w:rsid w:val="21CE4133"/>
    <w:rsid w:val="55BB27A5"/>
    <w:rsid w:val="644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2020-12-24T02:34:00Z</dcterms:created>
  <dc:creator>蒋正飞</dc:creator>
  <cp:lastModifiedBy>胡慧慧</cp:lastModifiedBy>
  <dcterms:modified xsi:type="dcterms:W3CDTF">2021-03-29T03:24:03Z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