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Cs/>
          <w:sz w:val="24"/>
        </w:rPr>
      </w:pPr>
    </w:p>
    <w:p>
      <w:pPr>
        <w:jc w:val="center"/>
        <w:rPr>
          <w:rFonts w:hint="eastAsia"/>
          <w:b/>
          <w:bCs/>
        </w:rPr>
      </w:pPr>
      <w:r>
        <w:rPr>
          <w:rFonts w:hint="eastAsia" w:eastAsia="黑体"/>
          <w:b/>
          <w:bCs/>
          <w:sz w:val="32"/>
        </w:rPr>
        <w:t>《</w:t>
      </w:r>
      <w:r>
        <w:rPr>
          <w:rFonts w:hint="eastAsia" w:ascii="宋体" w:eastAsia="黑体"/>
          <w:b/>
          <w:bCs/>
          <w:sz w:val="32"/>
        </w:rPr>
        <w:t>公共部门人力资源管理</w:t>
      </w:r>
      <w:r>
        <w:rPr>
          <w:rFonts w:hint="eastAsia" w:eastAsia="黑体"/>
          <w:b/>
          <w:bCs/>
          <w:sz w:val="32"/>
        </w:rPr>
        <w:t>》课程教学大纲</w:t>
      </w:r>
    </w:p>
    <w:p>
      <w:pPr>
        <w:outlineLvl w:val="0"/>
        <w:rPr>
          <w:rFonts w:hint="eastAsia" w:eastAsia="黑体"/>
          <w:b/>
          <w:bCs/>
          <w:szCs w:val="21"/>
        </w:rPr>
      </w:pPr>
      <w:r>
        <w:rPr>
          <w:rFonts w:hint="eastAsia" w:eastAsia="黑体"/>
          <w:b/>
          <w:bCs/>
          <w:sz w:val="30"/>
          <w:szCs w:val="30"/>
        </w:rPr>
        <w:t>一、课程概况</w:t>
      </w:r>
    </w:p>
    <w:tbl>
      <w:tblPr>
        <w:tblStyle w:val="8"/>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410"/>
        <w:gridCol w:w="1857"/>
        <w:gridCol w:w="830"/>
        <w:gridCol w:w="1843"/>
        <w:gridCol w:w="567"/>
        <w:gridCol w:w="567"/>
        <w:gridCol w:w="1417"/>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34" w:type="dxa"/>
            <w:vAlign w:val="center"/>
          </w:tcPr>
          <w:p>
            <w:pPr>
              <w:adjustRightInd w:val="0"/>
              <w:snapToGrid w:val="0"/>
              <w:jc w:val="center"/>
              <w:rPr>
                <w:rFonts w:hint="eastAsia" w:ascii="宋体" w:hAnsi="宋体" w:cs="宋体"/>
                <w:b/>
              </w:rPr>
            </w:pPr>
            <w:r>
              <w:rPr>
                <w:rFonts w:hint="eastAsia" w:ascii="宋体" w:hAnsi="宋体" w:cs="宋体"/>
                <w:b/>
              </w:rPr>
              <w:t>课程代码</w:t>
            </w:r>
          </w:p>
        </w:tc>
        <w:tc>
          <w:tcPr>
            <w:tcW w:w="5507" w:type="dxa"/>
            <w:gridSpan w:val="5"/>
            <w:vAlign w:val="center"/>
          </w:tcPr>
          <w:p>
            <w:pPr>
              <w:jc w:val="center"/>
              <w:rPr>
                <w:rFonts w:hint="eastAsia"/>
                <w:bCs/>
                <w:color w:val="000000"/>
                <w:szCs w:val="21"/>
              </w:rPr>
            </w:pPr>
            <w:r>
              <w:rPr>
                <w:bCs/>
                <w:color w:val="000000"/>
                <w:szCs w:val="21"/>
              </w:rPr>
              <w:t>GG022233X</w:t>
            </w:r>
          </w:p>
        </w:tc>
        <w:tc>
          <w:tcPr>
            <w:tcW w:w="1984" w:type="dxa"/>
            <w:gridSpan w:val="2"/>
            <w:vAlign w:val="center"/>
          </w:tcPr>
          <w:p>
            <w:pPr>
              <w:adjustRightInd w:val="0"/>
              <w:snapToGrid w:val="0"/>
              <w:jc w:val="center"/>
              <w:rPr>
                <w:rFonts w:hint="eastAsia" w:ascii="宋体" w:hAnsi="宋体" w:cs="宋体"/>
                <w:b/>
              </w:rPr>
            </w:pPr>
            <w:r>
              <w:rPr>
                <w:rFonts w:hint="eastAsia" w:ascii="宋体" w:hAnsi="宋体" w:cs="宋体"/>
                <w:b/>
                <w:szCs w:val="21"/>
              </w:rPr>
              <w:t>课程性质</w:t>
            </w:r>
          </w:p>
        </w:tc>
        <w:tc>
          <w:tcPr>
            <w:tcW w:w="1255" w:type="dxa"/>
            <w:vAlign w:val="center"/>
          </w:tcPr>
          <w:p>
            <w:pPr>
              <w:jc w:val="center"/>
              <w:rPr>
                <w:rFonts w:hint="eastAsia"/>
                <w:bCs/>
                <w:color w:val="000000"/>
                <w:szCs w:val="21"/>
              </w:rPr>
            </w:pPr>
            <w:r>
              <w:rPr>
                <w:rFonts w:hint="eastAsia"/>
                <w:bCs/>
                <w:color w:val="000000"/>
                <w:szCs w:val="21"/>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34" w:type="dxa"/>
            <w:vAlign w:val="center"/>
          </w:tcPr>
          <w:p>
            <w:pPr>
              <w:adjustRightInd w:val="0"/>
              <w:snapToGrid w:val="0"/>
              <w:jc w:val="center"/>
              <w:rPr>
                <w:rFonts w:hint="eastAsia" w:ascii="宋体" w:hAnsi="宋体" w:cs="宋体"/>
                <w:b/>
              </w:rPr>
            </w:pPr>
            <w:r>
              <w:rPr>
                <w:rFonts w:hint="eastAsia" w:ascii="宋体" w:hAnsi="宋体" w:cs="宋体"/>
                <w:b/>
              </w:rPr>
              <w:t>课程名称</w:t>
            </w:r>
          </w:p>
        </w:tc>
        <w:tc>
          <w:tcPr>
            <w:tcW w:w="5507" w:type="dxa"/>
            <w:gridSpan w:val="5"/>
            <w:vAlign w:val="center"/>
          </w:tcPr>
          <w:p>
            <w:pPr>
              <w:jc w:val="center"/>
              <w:rPr>
                <w:rFonts w:hint="eastAsia"/>
                <w:bCs/>
                <w:color w:val="000000"/>
                <w:szCs w:val="21"/>
              </w:rPr>
            </w:pPr>
            <w:r>
              <w:rPr>
                <w:rFonts w:hint="eastAsia"/>
                <w:bCs/>
                <w:color w:val="000000"/>
                <w:szCs w:val="21"/>
              </w:rPr>
              <w:t>公共部门人力资源管理</w:t>
            </w:r>
          </w:p>
        </w:tc>
        <w:tc>
          <w:tcPr>
            <w:tcW w:w="1984" w:type="dxa"/>
            <w:gridSpan w:val="2"/>
            <w:vAlign w:val="center"/>
          </w:tcPr>
          <w:p>
            <w:pPr>
              <w:adjustRightInd w:val="0"/>
              <w:snapToGrid w:val="0"/>
              <w:jc w:val="center"/>
              <w:rPr>
                <w:rFonts w:hint="eastAsia" w:ascii="宋体" w:hAnsi="宋体" w:cs="宋体"/>
                <w:b/>
              </w:rPr>
            </w:pPr>
            <w:r>
              <w:rPr>
                <w:rFonts w:hint="eastAsia" w:ascii="宋体" w:hAnsi="宋体" w:cs="宋体"/>
                <w:b/>
                <w:szCs w:val="21"/>
              </w:rPr>
              <w:t>学时/学分</w:t>
            </w:r>
          </w:p>
        </w:tc>
        <w:tc>
          <w:tcPr>
            <w:tcW w:w="1255" w:type="dxa"/>
            <w:vAlign w:val="center"/>
          </w:tcPr>
          <w:p>
            <w:pPr>
              <w:jc w:val="center"/>
              <w:rPr>
                <w:bCs/>
                <w:color w:val="000000"/>
                <w:szCs w:val="21"/>
              </w:rPr>
            </w:pPr>
            <w:r>
              <w:rPr>
                <w:rFonts w:hint="eastAsia"/>
                <w:bCs/>
                <w:color w:val="000000"/>
                <w:szCs w:val="21"/>
              </w:rPr>
              <w:t>32/2.0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34" w:type="dxa"/>
            <w:vAlign w:val="center"/>
          </w:tcPr>
          <w:p>
            <w:pPr>
              <w:adjustRightInd w:val="0"/>
              <w:snapToGrid w:val="0"/>
              <w:jc w:val="center"/>
              <w:rPr>
                <w:rFonts w:hint="eastAsia" w:ascii="宋体" w:hAnsi="宋体" w:cs="宋体"/>
                <w:b/>
              </w:rPr>
            </w:pPr>
            <w:r>
              <w:rPr>
                <w:rFonts w:hint="eastAsia" w:ascii="宋体" w:hAnsi="宋体" w:cs="宋体"/>
                <w:b/>
              </w:rPr>
              <w:t>英文名称</w:t>
            </w:r>
          </w:p>
        </w:tc>
        <w:tc>
          <w:tcPr>
            <w:tcW w:w="5507" w:type="dxa"/>
            <w:gridSpan w:val="5"/>
            <w:vAlign w:val="center"/>
          </w:tcPr>
          <w:p>
            <w:pPr>
              <w:jc w:val="center"/>
              <w:rPr>
                <w:rFonts w:hint="eastAsia"/>
                <w:bCs/>
                <w:color w:val="000000"/>
                <w:szCs w:val="21"/>
              </w:rPr>
            </w:pPr>
            <w:r>
              <w:rPr>
                <w:rFonts w:hint="eastAsia"/>
                <w:bCs/>
                <w:color w:val="000000"/>
                <w:szCs w:val="21"/>
              </w:rPr>
              <w:t>Human</w:t>
            </w:r>
            <w:r>
              <w:rPr>
                <w:bCs/>
                <w:color w:val="000000"/>
                <w:szCs w:val="21"/>
              </w:rPr>
              <w:t xml:space="preserve"> </w:t>
            </w:r>
            <w:r>
              <w:rPr>
                <w:rFonts w:hint="eastAsia"/>
                <w:bCs/>
                <w:color w:val="000000"/>
                <w:szCs w:val="21"/>
              </w:rPr>
              <w:t>Resources</w:t>
            </w:r>
            <w:r>
              <w:rPr>
                <w:bCs/>
                <w:color w:val="000000"/>
                <w:szCs w:val="21"/>
              </w:rPr>
              <w:t xml:space="preserve"> </w:t>
            </w:r>
            <w:r>
              <w:rPr>
                <w:rFonts w:hint="eastAsia"/>
                <w:bCs/>
                <w:color w:val="000000"/>
                <w:szCs w:val="21"/>
              </w:rPr>
              <w:t>Management</w:t>
            </w:r>
            <w:r>
              <w:rPr>
                <w:bCs/>
                <w:color w:val="000000"/>
                <w:szCs w:val="21"/>
              </w:rPr>
              <w:t xml:space="preserve"> </w:t>
            </w:r>
            <w:r>
              <w:rPr>
                <w:rFonts w:hint="eastAsia"/>
                <w:bCs/>
                <w:color w:val="000000"/>
                <w:szCs w:val="21"/>
              </w:rPr>
              <w:t>in</w:t>
            </w:r>
            <w:r>
              <w:rPr>
                <w:bCs/>
                <w:color w:val="000000"/>
                <w:szCs w:val="21"/>
              </w:rPr>
              <w:t xml:space="preserve"> </w:t>
            </w:r>
            <w:r>
              <w:rPr>
                <w:rFonts w:hint="eastAsia"/>
                <w:bCs/>
                <w:color w:val="000000"/>
                <w:szCs w:val="21"/>
              </w:rPr>
              <w:t>the</w:t>
            </w:r>
            <w:r>
              <w:rPr>
                <w:bCs/>
                <w:color w:val="000000"/>
                <w:szCs w:val="21"/>
              </w:rPr>
              <w:t xml:space="preserve"> </w:t>
            </w:r>
            <w:r>
              <w:rPr>
                <w:rFonts w:hint="eastAsia"/>
                <w:bCs/>
                <w:color w:val="000000"/>
                <w:szCs w:val="21"/>
              </w:rPr>
              <w:t>Public</w:t>
            </w:r>
            <w:r>
              <w:rPr>
                <w:bCs/>
                <w:color w:val="000000"/>
                <w:szCs w:val="21"/>
              </w:rPr>
              <w:t xml:space="preserve"> </w:t>
            </w:r>
            <w:r>
              <w:rPr>
                <w:rFonts w:hint="eastAsia"/>
                <w:bCs/>
                <w:color w:val="000000"/>
                <w:szCs w:val="21"/>
              </w:rPr>
              <w:t>Sector</w:t>
            </w:r>
          </w:p>
        </w:tc>
        <w:tc>
          <w:tcPr>
            <w:tcW w:w="1984" w:type="dxa"/>
            <w:gridSpan w:val="2"/>
            <w:vAlign w:val="center"/>
          </w:tcPr>
          <w:p>
            <w:pPr>
              <w:adjustRightInd w:val="0"/>
              <w:snapToGrid w:val="0"/>
              <w:jc w:val="center"/>
              <w:rPr>
                <w:rFonts w:hint="eastAsia" w:ascii="宋体" w:hAnsi="宋体" w:cs="宋体"/>
                <w:b/>
              </w:rPr>
            </w:pPr>
            <w:r>
              <w:rPr>
                <w:rFonts w:hint="eastAsia" w:ascii="宋体" w:hAnsi="宋体" w:cs="宋体"/>
                <w:b/>
              </w:rPr>
              <w:t>考核方式</w:t>
            </w:r>
          </w:p>
        </w:tc>
        <w:tc>
          <w:tcPr>
            <w:tcW w:w="1255" w:type="dxa"/>
            <w:vAlign w:val="center"/>
          </w:tcPr>
          <w:p>
            <w:pPr>
              <w:jc w:val="center"/>
              <w:rPr>
                <w:rFonts w:hint="eastAsia"/>
                <w:bCs/>
                <w:color w:val="000000"/>
                <w:szCs w:val="21"/>
              </w:rPr>
            </w:pPr>
            <w:r>
              <w:rPr>
                <w:rFonts w:hint="eastAsia"/>
                <w:bCs/>
                <w:color w:val="00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34" w:type="dxa"/>
            <w:vAlign w:val="center"/>
          </w:tcPr>
          <w:p>
            <w:pPr>
              <w:adjustRightInd w:val="0"/>
              <w:snapToGrid w:val="0"/>
              <w:jc w:val="center"/>
              <w:rPr>
                <w:rFonts w:hint="eastAsia" w:ascii="宋体" w:hAnsi="宋体" w:cs="宋体"/>
                <w:b/>
              </w:rPr>
            </w:pPr>
            <w:r>
              <w:rPr>
                <w:rFonts w:hint="eastAsia" w:ascii="宋体" w:hAnsi="宋体" w:cs="宋体"/>
                <w:b/>
              </w:rPr>
              <w:t>先修课程</w:t>
            </w:r>
          </w:p>
        </w:tc>
        <w:tc>
          <w:tcPr>
            <w:tcW w:w="5507" w:type="dxa"/>
            <w:gridSpan w:val="5"/>
            <w:vAlign w:val="center"/>
          </w:tcPr>
          <w:p>
            <w:pPr>
              <w:jc w:val="center"/>
              <w:rPr>
                <w:rFonts w:hint="eastAsia"/>
                <w:bCs/>
                <w:color w:val="000000"/>
                <w:szCs w:val="21"/>
              </w:rPr>
            </w:pPr>
            <w:r>
              <w:rPr>
                <w:rFonts w:hint="eastAsia"/>
                <w:bCs/>
                <w:color w:val="000000"/>
                <w:szCs w:val="21"/>
              </w:rPr>
              <w:t>人力资源管理、管理学概论</w:t>
            </w:r>
          </w:p>
        </w:tc>
        <w:tc>
          <w:tcPr>
            <w:tcW w:w="1984" w:type="dxa"/>
            <w:gridSpan w:val="2"/>
            <w:vAlign w:val="center"/>
          </w:tcPr>
          <w:p>
            <w:pPr>
              <w:adjustRightInd w:val="0"/>
              <w:snapToGrid w:val="0"/>
              <w:jc w:val="center"/>
              <w:rPr>
                <w:rFonts w:hint="eastAsia" w:ascii="宋体" w:hAnsi="宋体" w:cs="宋体"/>
                <w:b/>
              </w:rPr>
            </w:pPr>
            <w:r>
              <w:rPr>
                <w:rFonts w:hint="eastAsia" w:ascii="宋体" w:hAnsi="宋体" w:cs="宋体"/>
                <w:b/>
              </w:rPr>
              <w:t>大纲执笔人</w:t>
            </w:r>
          </w:p>
        </w:tc>
        <w:tc>
          <w:tcPr>
            <w:tcW w:w="1255" w:type="dxa"/>
            <w:vAlign w:val="center"/>
          </w:tcPr>
          <w:p>
            <w:pPr>
              <w:jc w:val="center"/>
              <w:rPr>
                <w:rFonts w:hint="default" w:eastAsia="宋体"/>
                <w:bCs/>
                <w:color w:val="000000"/>
                <w:szCs w:val="21"/>
                <w:lang w:val="en-US" w:eastAsia="zh-CN"/>
              </w:rPr>
            </w:pPr>
            <w:r>
              <w:rPr>
                <w:rFonts w:hint="eastAsia"/>
                <w:bCs/>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34" w:type="dxa"/>
            <w:vAlign w:val="center"/>
          </w:tcPr>
          <w:p>
            <w:pPr>
              <w:adjustRightInd w:val="0"/>
              <w:snapToGrid w:val="0"/>
              <w:jc w:val="center"/>
              <w:rPr>
                <w:rFonts w:hint="eastAsia" w:ascii="宋体" w:hAnsi="宋体" w:cs="宋体"/>
                <w:b/>
              </w:rPr>
            </w:pPr>
            <w:r>
              <w:rPr>
                <w:rFonts w:hint="eastAsia" w:ascii="宋体" w:hAnsi="宋体" w:cs="宋体"/>
                <w:b/>
              </w:rPr>
              <w:t>适用专业</w:t>
            </w:r>
          </w:p>
        </w:tc>
        <w:tc>
          <w:tcPr>
            <w:tcW w:w="5507" w:type="dxa"/>
            <w:gridSpan w:val="5"/>
            <w:vAlign w:val="center"/>
          </w:tcPr>
          <w:p>
            <w:pPr>
              <w:jc w:val="center"/>
              <w:rPr>
                <w:bCs/>
                <w:color w:val="000000"/>
                <w:szCs w:val="21"/>
              </w:rPr>
            </w:pPr>
            <w:r>
              <w:rPr>
                <w:rFonts w:hint="eastAsia"/>
                <w:bCs/>
                <w:color w:val="000000"/>
                <w:szCs w:val="21"/>
              </w:rPr>
              <w:t>人力资源管理、劳动与社会保障</w:t>
            </w:r>
          </w:p>
        </w:tc>
        <w:tc>
          <w:tcPr>
            <w:tcW w:w="1984" w:type="dxa"/>
            <w:gridSpan w:val="2"/>
            <w:vAlign w:val="center"/>
          </w:tcPr>
          <w:p>
            <w:pPr>
              <w:adjustRightInd w:val="0"/>
              <w:snapToGrid w:val="0"/>
              <w:jc w:val="center"/>
              <w:rPr>
                <w:rFonts w:hint="eastAsia" w:ascii="宋体" w:hAnsi="宋体" w:cs="宋体"/>
                <w:b/>
              </w:rPr>
            </w:pPr>
            <w:r>
              <w:rPr>
                <w:rFonts w:hint="eastAsia" w:ascii="宋体" w:hAnsi="宋体" w:cs="宋体"/>
                <w:b/>
              </w:rPr>
              <w:t>大纲审核人</w:t>
            </w:r>
          </w:p>
        </w:tc>
        <w:tc>
          <w:tcPr>
            <w:tcW w:w="1255" w:type="dxa"/>
            <w:vAlign w:val="center"/>
          </w:tcPr>
          <w:p>
            <w:pPr>
              <w:jc w:val="center"/>
              <w:rPr>
                <w:rFonts w:hint="eastAsia"/>
                <w:bCs/>
                <w:color w:val="000000"/>
                <w:szCs w:val="21"/>
              </w:rPr>
            </w:pPr>
            <w:r>
              <w:rPr>
                <w:rFonts w:hint="eastAsia"/>
                <w:bCs/>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34" w:type="dxa"/>
            <w:vAlign w:val="center"/>
          </w:tcPr>
          <w:p>
            <w:pPr>
              <w:adjustRightInd w:val="0"/>
              <w:snapToGrid w:val="0"/>
              <w:jc w:val="center"/>
              <w:rPr>
                <w:rFonts w:hint="eastAsia" w:ascii="宋体" w:hAnsi="宋体" w:cs="宋体"/>
                <w:b/>
              </w:rPr>
            </w:pPr>
            <w:r>
              <w:rPr>
                <w:rFonts w:hint="eastAsia" w:ascii="宋体" w:hAnsi="宋体" w:cs="宋体"/>
                <w:b/>
              </w:rPr>
              <w:t>选用教材</w:t>
            </w:r>
          </w:p>
        </w:tc>
        <w:tc>
          <w:tcPr>
            <w:tcW w:w="8746" w:type="dxa"/>
            <w:gridSpan w:val="8"/>
            <w:vAlign w:val="center"/>
          </w:tcPr>
          <w:p>
            <w:pPr>
              <w:adjustRightInd w:val="0"/>
              <w:snapToGrid w:val="0"/>
              <w:jc w:val="center"/>
              <w:rPr>
                <w:rFonts w:hint="eastAsia" w:ascii="宋体" w:hAnsi="宋体" w:cs="宋体"/>
                <w:b/>
                <w:color w:val="000000"/>
              </w:rPr>
            </w:pPr>
            <w:r>
              <w:rPr>
                <w:rFonts w:hint="eastAsia"/>
                <w:color w:val="000000"/>
                <w:szCs w:val="21"/>
              </w:rPr>
              <w:t>孙柏瑛 祁凡骅.公共部门人力资源开发与管理（第四版）</w:t>
            </w:r>
            <w:r>
              <w:rPr>
                <w:rStyle w:val="11"/>
                <w:rFonts w:hint="eastAsia" w:ascii="宋体" w:hAnsi="宋体" w:cs="宋体"/>
                <w:i w:val="0"/>
                <w:szCs w:val="21"/>
                <w:shd w:val="clear" w:color="auto" w:fill="FFFFFF"/>
              </w:rPr>
              <w:t>[M]</w:t>
            </w:r>
            <w:r>
              <w:rPr>
                <w:rFonts w:hint="eastAsia"/>
                <w:color w:val="000000"/>
                <w:szCs w:val="21"/>
              </w:rPr>
              <w:t>.中国人民大学出版社，20</w:t>
            </w:r>
            <w:r>
              <w:rPr>
                <w:color w:val="00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0080" w:type="dxa"/>
            <w:gridSpan w:val="9"/>
            <w:vAlign w:val="center"/>
          </w:tcPr>
          <w:p>
            <w:pPr>
              <w:adjustRightInd w:val="0"/>
              <w:snapToGrid w:val="0"/>
              <w:rPr>
                <w:rFonts w:hint="eastAsia" w:ascii="宋体" w:hAnsi="宋体" w:cs="宋体"/>
                <w:b/>
                <w:color w:val="FF0000"/>
              </w:rPr>
            </w:pPr>
            <w:r>
              <w:rPr>
                <w:rFonts w:hint="eastAsia" w:ascii="宋体" w:hAnsi="宋体" w:cs="宋体"/>
                <w:b/>
              </w:rPr>
              <w:t>课程简介：</w:t>
            </w:r>
            <w:r>
              <w:rPr>
                <w:rFonts w:hint="eastAsia" w:ascii="宋体" w:hAnsi="宋体" w:cs="宋体"/>
                <w:bCs/>
                <w:color w:val="000000"/>
              </w:rPr>
              <w:t>本课程是人力资源专业及劳动与社会保障专业的专业必修课程，主要内容包括公共部门人力资源开发管理、规划与预测、招募与选录、培训与开发、绩效评估、薪酬管理及约束与监控等部分内容。</w:t>
            </w:r>
            <w:bookmarkStart w:id="0" w:name="_GoBack"/>
            <w:r>
              <w:rPr>
                <w:rFonts w:hint="eastAsia" w:ascii="宋体" w:hAnsi="宋体" w:cs="宋体"/>
                <w:bCs/>
                <w:color w:val="000000"/>
                <w:u w:val="single"/>
              </w:rPr>
              <w:t>在该课程教学过程中，重点促使学生能够正确认知及分析当前公共部门人力资源管理的不足，制定、执行、评估以及修正具有中国特色社会主义的公共部门人力资源管理办法，能秉持和运用公平正义的选人、用人、育人的价值理念</w:t>
            </w:r>
            <w:r>
              <w:rPr>
                <w:rFonts w:hint="eastAsia" w:ascii="宋体" w:hAnsi="宋体" w:cs="宋体"/>
                <w:bCs/>
                <w:color w:val="000000"/>
              </w:rPr>
              <w:t>。</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080" w:type="dxa"/>
            <w:gridSpan w:val="9"/>
            <w:vAlign w:val="center"/>
          </w:tcPr>
          <w:p>
            <w:pPr>
              <w:adjustRightInd w:val="0"/>
              <w:snapToGrid w:val="0"/>
              <w:jc w:val="center"/>
              <w:rPr>
                <w:rFonts w:hint="eastAsia"/>
                <w:b/>
              </w:rPr>
            </w:pPr>
            <w:r>
              <w:rPr>
                <w:rFonts w:hint="eastAsia"/>
                <w:b/>
              </w:rPr>
              <w:t>课程目标(Course Objectives, 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431" w:type="dxa"/>
            <w:gridSpan w:val="4"/>
            <w:vAlign w:val="center"/>
          </w:tcPr>
          <w:p>
            <w:pPr>
              <w:adjustRightInd w:val="0"/>
              <w:snapToGrid w:val="0"/>
              <w:jc w:val="left"/>
              <w:rPr>
                <w:rFonts w:hint="eastAsia"/>
                <w:b/>
                <w:color w:val="000000"/>
              </w:rPr>
            </w:pPr>
            <w:r>
              <w:rPr>
                <w:rFonts w:hint="eastAsia"/>
                <w:color w:val="000000"/>
              </w:rPr>
              <w:t>(CO1)了解公共部门人力资源管理的基本知识</w:t>
            </w:r>
          </w:p>
        </w:tc>
        <w:tc>
          <w:tcPr>
            <w:tcW w:w="5649" w:type="dxa"/>
            <w:gridSpan w:val="5"/>
            <w:vAlign w:val="center"/>
          </w:tcPr>
          <w:p>
            <w:pPr>
              <w:adjustRightInd w:val="0"/>
              <w:snapToGrid w:val="0"/>
              <w:rPr>
                <w:rFonts w:hint="eastAsia"/>
                <w:b/>
                <w:color w:val="000000"/>
              </w:rPr>
            </w:pPr>
            <w:r>
              <w:rPr>
                <w:rFonts w:hint="eastAsia"/>
                <w:color w:val="000000"/>
              </w:rPr>
              <w:t>(CO2)系统理解人力资源开发与管理的基本原理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31" w:type="dxa"/>
            <w:gridSpan w:val="4"/>
            <w:vAlign w:val="center"/>
          </w:tcPr>
          <w:p>
            <w:pPr>
              <w:adjustRightInd w:val="0"/>
              <w:snapToGrid w:val="0"/>
              <w:jc w:val="left"/>
              <w:rPr>
                <w:rFonts w:hint="eastAsia"/>
                <w:color w:val="000000"/>
              </w:rPr>
            </w:pPr>
            <w:r>
              <w:rPr>
                <w:rFonts w:hint="eastAsia"/>
                <w:color w:val="000000"/>
              </w:rPr>
              <w:t>(CO3)熟练掌握公共部门人力资源管理的操作技术与方法</w:t>
            </w:r>
          </w:p>
        </w:tc>
        <w:tc>
          <w:tcPr>
            <w:tcW w:w="5649" w:type="dxa"/>
            <w:gridSpan w:val="5"/>
            <w:vAlign w:val="center"/>
          </w:tcPr>
          <w:p>
            <w:pPr>
              <w:adjustRightInd w:val="0"/>
              <w:snapToGrid w:val="0"/>
              <w:rPr>
                <w:rFonts w:hint="eastAsia"/>
                <w:color w:val="000000"/>
                <w:sz w:val="18"/>
                <w:szCs w:val="18"/>
              </w:rPr>
            </w:pPr>
            <w:r>
              <w:rPr>
                <w:rFonts w:hint="eastAsia"/>
                <w:color w:val="000000"/>
              </w:rPr>
              <w:t>(CO4)</w:t>
            </w:r>
            <w:r>
              <w:rPr>
                <w:rFonts w:hint="eastAsia"/>
                <w:color w:val="000000"/>
                <w:u w:val="single"/>
              </w:rPr>
              <w:t>运用公共部门人力资源管理方法与技术分析解决实际问题，树立正确的职业观，培养爱岗敬业的精神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44" w:type="dxa"/>
            <w:gridSpan w:val="2"/>
            <w:vMerge w:val="restart"/>
            <w:vAlign w:val="center"/>
          </w:tcPr>
          <w:p>
            <w:pPr>
              <w:adjustRightInd w:val="0"/>
              <w:snapToGrid w:val="0"/>
              <w:jc w:val="center"/>
              <w:rPr>
                <w:b/>
              </w:rPr>
            </w:pPr>
            <w:r>
              <w:rPr>
                <w:rFonts w:hint="eastAsia"/>
                <w:b/>
              </w:rPr>
              <w:t>教学方式</w:t>
            </w:r>
          </w:p>
          <w:p>
            <w:pPr>
              <w:adjustRightInd w:val="0"/>
              <w:snapToGrid w:val="0"/>
              <w:jc w:val="center"/>
              <w:rPr>
                <w:rFonts w:hint="eastAsia" w:ascii="宋体" w:hAnsi="宋体"/>
                <w:sz w:val="18"/>
                <w:szCs w:val="18"/>
              </w:rPr>
            </w:pPr>
            <w:r>
              <w:rPr>
                <w:rFonts w:hint="eastAsia"/>
                <w:b/>
              </w:rPr>
              <w:t>(</w:t>
            </w:r>
            <w:r>
              <w:rPr>
                <w:sz w:val="18"/>
                <w:szCs w:val="18"/>
              </w:rPr>
              <w:t>Pedagogical Methods</w:t>
            </w:r>
            <w:r>
              <w:rPr>
                <w:rFonts w:hint="eastAsia"/>
                <w:sz w:val="18"/>
                <w:szCs w:val="18"/>
              </w:rPr>
              <w:t>,PM)</w:t>
            </w:r>
          </w:p>
        </w:tc>
        <w:tc>
          <w:tcPr>
            <w:tcW w:w="1857" w:type="dxa"/>
            <w:vAlign w:val="center"/>
          </w:tcPr>
          <w:p>
            <w:pPr>
              <w:adjustRightInd w:val="0"/>
              <w:snapToGrid w:val="0"/>
              <w:rPr>
                <w:rFonts w:hint="eastAsia"/>
                <w:sz w:val="18"/>
                <w:szCs w:val="18"/>
              </w:rPr>
            </w:pPr>
            <w:r>
              <w:rPr>
                <w:rFonts w:hint="eastAsia" w:ascii="Segoe UI Emoji" w:hAnsi="Segoe UI Emoji" w:cs="Segoe UI Emoji"/>
                <w:sz w:val="18"/>
                <w:szCs w:val="18"/>
              </w:rPr>
              <w:t>☑</w:t>
            </w:r>
            <w:r>
              <w:rPr>
                <w:sz w:val="18"/>
                <w:szCs w:val="18"/>
              </w:rPr>
              <w:t>PM1</w:t>
            </w:r>
            <w:r>
              <w:rPr>
                <w:rFonts w:hint="eastAsia"/>
                <w:sz w:val="18"/>
                <w:szCs w:val="18"/>
              </w:rPr>
              <w:t xml:space="preserve"> </w:t>
            </w:r>
            <w:r>
              <w:rPr>
                <w:rFonts w:ascii="宋体" w:hAnsi="宋体"/>
                <w:sz w:val="18"/>
                <w:szCs w:val="18"/>
              </w:rPr>
              <w:t>讲授法教学</w:t>
            </w:r>
          </w:p>
        </w:tc>
        <w:tc>
          <w:tcPr>
            <w:tcW w:w="2673" w:type="dxa"/>
            <w:gridSpan w:val="2"/>
            <w:vAlign w:val="center"/>
          </w:tcPr>
          <w:p>
            <w:pPr>
              <w:jc w:val="center"/>
              <w:rPr>
                <w:rFonts w:hint="eastAsia"/>
                <w:sz w:val="18"/>
                <w:szCs w:val="18"/>
              </w:rPr>
            </w:pPr>
            <w:r>
              <w:rPr>
                <w:rFonts w:hint="eastAsia"/>
                <w:sz w:val="18"/>
                <w:szCs w:val="18"/>
              </w:rPr>
              <w:t xml:space="preserve">              </w:t>
            </w:r>
            <w:r>
              <w:rPr>
                <w:sz w:val="18"/>
                <w:szCs w:val="18"/>
              </w:rPr>
              <w:t>20</w:t>
            </w:r>
            <w:r>
              <w:rPr>
                <w:rFonts w:hint="eastAsia"/>
                <w:sz w:val="18"/>
                <w:szCs w:val="18"/>
              </w:rPr>
              <w:t>学时</w:t>
            </w:r>
            <w:r>
              <w:rPr>
                <w:sz w:val="18"/>
                <w:szCs w:val="18"/>
              </w:rPr>
              <w:t>62.5%</w:t>
            </w:r>
          </w:p>
        </w:tc>
        <w:tc>
          <w:tcPr>
            <w:tcW w:w="2551" w:type="dxa"/>
            <w:gridSpan w:val="3"/>
            <w:vAlign w:val="center"/>
          </w:tcPr>
          <w:p>
            <w:pPr>
              <w:adjustRightInd w:val="0"/>
              <w:snapToGrid w:val="0"/>
              <w:rPr>
                <w:rFonts w:hint="eastAsia"/>
                <w:sz w:val="18"/>
                <w:szCs w:val="18"/>
              </w:rPr>
            </w:pPr>
            <w:r>
              <w:rPr>
                <w:rFonts w:hint="eastAsia" w:ascii="Segoe UI Emoji" w:hAnsi="Segoe UI Emoji" w:cs="Segoe UI Emoji"/>
                <w:sz w:val="18"/>
                <w:szCs w:val="18"/>
              </w:rPr>
              <w:t>☑</w:t>
            </w:r>
            <w:r>
              <w:rPr>
                <w:sz w:val="18"/>
                <w:szCs w:val="18"/>
              </w:rPr>
              <w:t>PM</w:t>
            </w:r>
            <w:r>
              <w:rPr>
                <w:rFonts w:hint="eastAsia"/>
                <w:sz w:val="18"/>
                <w:szCs w:val="18"/>
              </w:rPr>
              <w:t>2 研讨式学习</w:t>
            </w:r>
          </w:p>
        </w:tc>
        <w:tc>
          <w:tcPr>
            <w:tcW w:w="1255" w:type="dxa"/>
            <w:vAlign w:val="center"/>
          </w:tcPr>
          <w:p>
            <w:pPr>
              <w:jc w:val="center"/>
              <w:rPr>
                <w:rFonts w:hint="eastAsia"/>
                <w:sz w:val="18"/>
                <w:szCs w:val="18"/>
              </w:rPr>
            </w:pPr>
            <w:r>
              <w:rPr>
                <w:sz w:val="18"/>
                <w:szCs w:val="18"/>
              </w:rPr>
              <w:t>4</w:t>
            </w:r>
            <w:r>
              <w:rPr>
                <w:rFonts w:hint="eastAsia"/>
                <w:sz w:val="18"/>
                <w:szCs w:val="18"/>
              </w:rPr>
              <w:t>学时</w:t>
            </w:r>
            <w:r>
              <w:rPr>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744" w:type="dxa"/>
            <w:gridSpan w:val="2"/>
            <w:vMerge w:val="continue"/>
            <w:vAlign w:val="center"/>
          </w:tcPr>
          <w:p>
            <w:pPr>
              <w:adjustRightInd w:val="0"/>
              <w:snapToGrid w:val="0"/>
              <w:rPr>
                <w:rFonts w:hint="eastAsia" w:ascii="宋体" w:hAnsi="宋体"/>
                <w:sz w:val="18"/>
                <w:szCs w:val="18"/>
              </w:rPr>
            </w:pPr>
          </w:p>
        </w:tc>
        <w:tc>
          <w:tcPr>
            <w:tcW w:w="1857" w:type="dxa"/>
            <w:vAlign w:val="center"/>
          </w:tcPr>
          <w:p>
            <w:pPr>
              <w:adjustRightInd w:val="0"/>
              <w:snapToGrid w:val="0"/>
              <w:rPr>
                <w:color w:val="000000"/>
                <w:sz w:val="18"/>
                <w:szCs w:val="18"/>
                <w:highlight w:val="black"/>
              </w:rPr>
            </w:pPr>
            <w:r>
              <w:rPr>
                <w:rFonts w:hint="eastAsia" w:ascii="Segoe UI Emoji" w:hAnsi="Segoe UI Emoji" w:cs="Segoe UI Emoji"/>
                <w:sz w:val="18"/>
                <w:szCs w:val="18"/>
              </w:rPr>
              <w:t>☑</w:t>
            </w:r>
            <w:r>
              <w:rPr>
                <w:sz w:val="18"/>
                <w:szCs w:val="18"/>
              </w:rPr>
              <w:t>PM</w:t>
            </w:r>
            <w:r>
              <w:rPr>
                <w:rFonts w:hint="eastAsia"/>
                <w:sz w:val="18"/>
                <w:szCs w:val="18"/>
              </w:rPr>
              <w:t xml:space="preserve">3 </w:t>
            </w:r>
            <w:r>
              <w:rPr>
                <w:sz w:val="18"/>
                <w:szCs w:val="18"/>
              </w:rPr>
              <w:t>案例教学</w:t>
            </w:r>
          </w:p>
        </w:tc>
        <w:tc>
          <w:tcPr>
            <w:tcW w:w="2673" w:type="dxa"/>
            <w:gridSpan w:val="2"/>
            <w:vAlign w:val="center"/>
          </w:tcPr>
          <w:p>
            <w:pPr>
              <w:jc w:val="center"/>
              <w:rPr>
                <w:rFonts w:hint="eastAsia"/>
                <w:sz w:val="18"/>
                <w:szCs w:val="18"/>
              </w:rPr>
            </w:pPr>
            <w:r>
              <w:rPr>
                <w:rFonts w:hint="eastAsia"/>
                <w:sz w:val="18"/>
                <w:szCs w:val="18"/>
              </w:rPr>
              <w:t xml:space="preserve">              6学时</w:t>
            </w:r>
            <w:r>
              <w:rPr>
                <w:sz w:val="18"/>
                <w:szCs w:val="18"/>
              </w:rPr>
              <w:t>18.75%</w:t>
            </w:r>
          </w:p>
        </w:tc>
        <w:tc>
          <w:tcPr>
            <w:tcW w:w="2551" w:type="dxa"/>
            <w:gridSpan w:val="3"/>
            <w:vAlign w:val="center"/>
          </w:tcPr>
          <w:p>
            <w:pPr>
              <w:adjustRightInd w:val="0"/>
              <w:snapToGrid w:val="0"/>
              <w:rPr>
                <w:sz w:val="18"/>
                <w:szCs w:val="18"/>
              </w:rPr>
            </w:pPr>
            <w:r>
              <w:rPr>
                <w:rFonts w:hint="eastAsia" w:ascii="Segoe UI Emoji" w:hAnsi="Segoe UI Emoji" w:cs="Segoe UI Emoji"/>
                <w:sz w:val="18"/>
                <w:szCs w:val="18"/>
              </w:rPr>
              <w:t>☑</w:t>
            </w:r>
            <w:r>
              <w:rPr>
                <w:sz w:val="18"/>
                <w:szCs w:val="18"/>
              </w:rPr>
              <w:t>PM</w:t>
            </w:r>
            <w:r>
              <w:rPr>
                <w:rFonts w:hint="eastAsia"/>
                <w:sz w:val="18"/>
                <w:szCs w:val="18"/>
              </w:rPr>
              <w:t>4 翻转课堂</w:t>
            </w:r>
          </w:p>
        </w:tc>
        <w:tc>
          <w:tcPr>
            <w:tcW w:w="1255" w:type="dxa"/>
            <w:vAlign w:val="center"/>
          </w:tcPr>
          <w:p>
            <w:pPr>
              <w:jc w:val="center"/>
            </w:pPr>
            <w:r>
              <w:rPr>
                <w:sz w:val="18"/>
                <w:szCs w:val="18"/>
              </w:rPr>
              <w:t>2</w:t>
            </w:r>
            <w:r>
              <w:rPr>
                <w:rFonts w:hint="eastAsia"/>
                <w:sz w:val="18"/>
                <w:szCs w:val="18"/>
              </w:rPr>
              <w:t>学时</w:t>
            </w:r>
            <w:r>
              <w:rPr>
                <w:sz w:val="18"/>
                <w:szCs w:val="18"/>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744" w:type="dxa"/>
            <w:gridSpan w:val="2"/>
            <w:vMerge w:val="continue"/>
            <w:vAlign w:val="center"/>
          </w:tcPr>
          <w:p>
            <w:pPr>
              <w:adjustRightInd w:val="0"/>
              <w:snapToGrid w:val="0"/>
              <w:rPr>
                <w:rFonts w:hint="eastAsia" w:ascii="宋体" w:hAnsi="宋体"/>
                <w:sz w:val="18"/>
                <w:szCs w:val="18"/>
              </w:rPr>
            </w:pPr>
          </w:p>
        </w:tc>
        <w:tc>
          <w:tcPr>
            <w:tcW w:w="1857" w:type="dxa"/>
            <w:vAlign w:val="center"/>
          </w:tcPr>
          <w:p>
            <w:pPr>
              <w:adjustRightInd w:val="0"/>
              <w:snapToGrid w:val="0"/>
              <w:rPr>
                <w:sz w:val="18"/>
                <w:szCs w:val="18"/>
              </w:rPr>
            </w:pPr>
            <w:r>
              <w:rPr>
                <w:rFonts w:hint="eastAsia" w:ascii="宋体" w:hAnsi="宋体"/>
                <w:sz w:val="18"/>
                <w:szCs w:val="18"/>
              </w:rPr>
              <w:t>□</w:t>
            </w:r>
            <w:r>
              <w:rPr>
                <w:sz w:val="18"/>
                <w:szCs w:val="18"/>
              </w:rPr>
              <w:t>PM</w:t>
            </w:r>
            <w:r>
              <w:rPr>
                <w:rFonts w:hint="eastAsia"/>
                <w:sz w:val="18"/>
                <w:szCs w:val="18"/>
              </w:rPr>
              <w:t>5 混合式</w:t>
            </w:r>
            <w:r>
              <w:rPr>
                <w:sz w:val="18"/>
                <w:szCs w:val="18"/>
              </w:rPr>
              <w:t>教学</w:t>
            </w:r>
          </w:p>
        </w:tc>
        <w:tc>
          <w:tcPr>
            <w:tcW w:w="2673" w:type="dxa"/>
            <w:gridSpan w:val="2"/>
            <w:vAlign w:val="center"/>
          </w:tcPr>
          <w:p>
            <w:pPr>
              <w:adjustRightInd w:val="0"/>
              <w:snapToGrid w:val="0"/>
              <w:jc w:val="right"/>
              <w:rPr>
                <w:sz w:val="18"/>
                <w:szCs w:val="18"/>
              </w:rPr>
            </w:pPr>
            <w:r>
              <w:rPr>
                <w:rFonts w:hint="eastAsia"/>
                <w:sz w:val="18"/>
                <w:szCs w:val="18"/>
              </w:rPr>
              <w:t xml:space="preserve">  学时   </w:t>
            </w:r>
            <w:r>
              <w:rPr>
                <w:sz w:val="18"/>
                <w:szCs w:val="18"/>
              </w:rPr>
              <w:t>%</w:t>
            </w:r>
          </w:p>
        </w:tc>
        <w:tc>
          <w:tcPr>
            <w:tcW w:w="2551" w:type="dxa"/>
            <w:gridSpan w:val="3"/>
            <w:vAlign w:val="center"/>
          </w:tcPr>
          <w:p>
            <w:pPr>
              <w:adjustRightInd w:val="0"/>
              <w:snapToGrid w:val="0"/>
              <w:rPr>
                <w:sz w:val="18"/>
                <w:szCs w:val="18"/>
              </w:rPr>
            </w:pPr>
            <w:r>
              <w:rPr>
                <w:rFonts w:hint="eastAsia" w:ascii="宋体" w:hAnsi="宋体"/>
                <w:sz w:val="18"/>
                <w:szCs w:val="18"/>
              </w:rPr>
              <w:t>□</w:t>
            </w:r>
            <w:r>
              <w:rPr>
                <w:sz w:val="18"/>
                <w:szCs w:val="18"/>
              </w:rPr>
              <w:t>PM</w:t>
            </w:r>
            <w:r>
              <w:rPr>
                <w:rFonts w:hint="eastAsia"/>
                <w:sz w:val="18"/>
                <w:szCs w:val="18"/>
              </w:rPr>
              <w:t>6 体验式学习</w:t>
            </w:r>
          </w:p>
        </w:tc>
        <w:tc>
          <w:tcPr>
            <w:tcW w:w="1255" w:type="dxa"/>
            <w:vAlign w:val="center"/>
          </w:tcPr>
          <w:p>
            <w:pPr>
              <w:adjustRightInd w:val="0"/>
              <w:snapToGrid w:val="0"/>
              <w:ind w:right="90"/>
              <w:jc w:val="right"/>
              <w:rPr>
                <w:sz w:val="18"/>
                <w:szCs w:val="18"/>
              </w:rPr>
            </w:pPr>
            <w:r>
              <w:rPr>
                <w:rFonts w:hint="eastAsia"/>
                <w:sz w:val="18"/>
                <w:szCs w:val="18"/>
              </w:rPr>
              <w:t xml:space="preserve">学时   </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34" w:type="dxa"/>
            <w:vMerge w:val="restart"/>
            <w:vAlign w:val="center"/>
          </w:tcPr>
          <w:p>
            <w:pPr>
              <w:adjustRightInd w:val="0"/>
              <w:snapToGrid w:val="0"/>
              <w:rPr>
                <w:rFonts w:hint="eastAsia"/>
                <w:b/>
              </w:rPr>
            </w:pPr>
            <w:r>
              <w:rPr>
                <w:rFonts w:hint="eastAsia"/>
                <w:b/>
              </w:rPr>
              <w:t>考核</w:t>
            </w:r>
            <w:r>
              <w:rPr>
                <w:b/>
              </w:rPr>
              <w:t>方式</w:t>
            </w:r>
            <w:r>
              <w:rPr>
                <w:rFonts w:hint="eastAsia"/>
                <w:b/>
              </w:rPr>
              <w:t>(</w:t>
            </w:r>
            <w:r>
              <w:rPr>
                <w:sz w:val="18"/>
                <w:szCs w:val="18"/>
              </w:rPr>
              <w:t>Evaluation</w:t>
            </w:r>
            <w:r>
              <w:rPr>
                <w:rFonts w:hint="eastAsia"/>
                <w:sz w:val="18"/>
                <w:szCs w:val="18"/>
              </w:rPr>
              <w:t xml:space="preserve"> </w:t>
            </w:r>
            <w:r>
              <w:rPr>
                <w:sz w:val="18"/>
                <w:szCs w:val="18"/>
              </w:rPr>
              <w:t>Methods</w:t>
            </w:r>
            <w:r>
              <w:rPr>
                <w:rFonts w:hint="eastAsia"/>
                <w:sz w:val="18"/>
                <w:szCs w:val="18"/>
              </w:rPr>
              <w:t>,EM)</w:t>
            </w:r>
          </w:p>
        </w:tc>
        <w:tc>
          <w:tcPr>
            <w:tcW w:w="410" w:type="dxa"/>
            <w:vMerge w:val="restart"/>
            <w:vAlign w:val="center"/>
          </w:tcPr>
          <w:p>
            <w:pPr>
              <w:adjustRightInd w:val="0"/>
              <w:snapToGrid w:val="0"/>
              <w:jc w:val="center"/>
              <w:rPr>
                <w:rFonts w:ascii="宋体" w:hAnsi="宋体"/>
                <w:sz w:val="18"/>
                <w:szCs w:val="18"/>
              </w:rPr>
            </w:pPr>
            <w:r>
              <w:rPr>
                <w:rFonts w:hint="eastAsia" w:ascii="宋体" w:hAnsi="宋体"/>
                <w:sz w:val="18"/>
                <w:szCs w:val="18"/>
              </w:rPr>
              <w:t>考试课必选</w:t>
            </w:r>
          </w:p>
        </w:tc>
        <w:tc>
          <w:tcPr>
            <w:tcW w:w="1857" w:type="dxa"/>
            <w:vAlign w:val="center"/>
          </w:tcPr>
          <w:p>
            <w:pPr>
              <w:adjustRightInd w:val="0"/>
              <w:snapToGrid w:val="0"/>
              <w:rPr>
                <w:sz w:val="18"/>
                <w:szCs w:val="18"/>
              </w:rPr>
            </w:pPr>
            <w:r>
              <w:rPr>
                <w:rFonts w:hint="eastAsia" w:ascii="Segoe UI Emoji" w:hAnsi="Segoe UI Emoji" w:cs="Segoe UI Emoji"/>
                <w:sz w:val="18"/>
                <w:szCs w:val="18"/>
              </w:rPr>
              <w:t>☑</w:t>
            </w:r>
            <w:r>
              <w:rPr>
                <w:sz w:val="18"/>
                <w:szCs w:val="18"/>
              </w:rPr>
              <w:t>EM1</w:t>
            </w:r>
            <w:r>
              <w:rPr>
                <w:rFonts w:hint="eastAsia"/>
                <w:sz w:val="18"/>
                <w:szCs w:val="18"/>
              </w:rPr>
              <w:t xml:space="preserve"> </w:t>
            </w:r>
            <w:r>
              <w:rPr>
                <w:sz w:val="18"/>
                <w:szCs w:val="18"/>
              </w:rPr>
              <w:t>课</w:t>
            </w:r>
            <w:r>
              <w:rPr>
                <w:rFonts w:hint="eastAsia"/>
                <w:sz w:val="18"/>
                <w:szCs w:val="18"/>
              </w:rPr>
              <w:t>程作业</w:t>
            </w:r>
          </w:p>
        </w:tc>
        <w:tc>
          <w:tcPr>
            <w:tcW w:w="830" w:type="dxa"/>
            <w:vAlign w:val="center"/>
          </w:tcPr>
          <w:p>
            <w:pPr>
              <w:adjustRightInd w:val="0"/>
              <w:snapToGrid w:val="0"/>
              <w:jc w:val="center"/>
              <w:rPr>
                <w:sz w:val="18"/>
                <w:szCs w:val="18"/>
              </w:rPr>
            </w:pPr>
            <w:r>
              <w:rPr>
                <w:rFonts w:hint="eastAsia"/>
                <w:sz w:val="18"/>
                <w:szCs w:val="18"/>
              </w:rPr>
              <w:t xml:space="preserve">   </w:t>
            </w:r>
            <w:r>
              <w:rPr>
                <w:sz w:val="18"/>
                <w:szCs w:val="18"/>
              </w:rPr>
              <w:t>20%</w:t>
            </w:r>
          </w:p>
        </w:tc>
        <w:tc>
          <w:tcPr>
            <w:tcW w:w="1843" w:type="dxa"/>
            <w:vAlign w:val="center"/>
          </w:tcPr>
          <w:p>
            <w:pPr>
              <w:adjustRightInd w:val="0"/>
              <w:snapToGrid w:val="0"/>
              <w:rPr>
                <w:sz w:val="18"/>
                <w:szCs w:val="18"/>
              </w:rPr>
            </w:pPr>
            <w:r>
              <w:rPr>
                <w:rFonts w:hint="eastAsia" w:ascii="Segoe UI Emoji" w:hAnsi="Segoe UI Emoji" w:cs="Segoe UI Emoji"/>
                <w:sz w:val="18"/>
                <w:szCs w:val="18"/>
              </w:rPr>
              <w:t>☑</w:t>
            </w:r>
            <w:r>
              <w:rPr>
                <w:sz w:val="18"/>
                <w:szCs w:val="18"/>
              </w:rPr>
              <w:t>EM 2</w:t>
            </w:r>
            <w:r>
              <w:rPr>
                <w:rFonts w:hint="eastAsia"/>
                <w:sz w:val="18"/>
                <w:szCs w:val="18"/>
              </w:rPr>
              <w:t xml:space="preserve"> 课堂笔记</w:t>
            </w:r>
          </w:p>
        </w:tc>
        <w:tc>
          <w:tcPr>
            <w:tcW w:w="1134" w:type="dxa"/>
            <w:gridSpan w:val="2"/>
            <w:vAlign w:val="center"/>
          </w:tcPr>
          <w:p>
            <w:pPr>
              <w:adjustRightInd w:val="0"/>
              <w:snapToGrid w:val="0"/>
              <w:jc w:val="center"/>
              <w:rPr>
                <w:sz w:val="18"/>
                <w:szCs w:val="18"/>
              </w:rPr>
            </w:pPr>
            <w:r>
              <w:rPr>
                <w:rFonts w:hint="eastAsia"/>
                <w:sz w:val="18"/>
                <w:szCs w:val="18"/>
              </w:rPr>
              <w:t xml:space="preserve">      10</w:t>
            </w:r>
            <w:r>
              <w:rPr>
                <w:sz w:val="18"/>
                <w:szCs w:val="18"/>
              </w:rPr>
              <w:t>%</w:t>
            </w:r>
          </w:p>
        </w:tc>
        <w:tc>
          <w:tcPr>
            <w:tcW w:w="1417" w:type="dxa"/>
            <w:vAlign w:val="center"/>
          </w:tcPr>
          <w:p>
            <w:pPr>
              <w:adjustRightInd w:val="0"/>
              <w:snapToGrid w:val="0"/>
              <w:rPr>
                <w:sz w:val="16"/>
                <w:szCs w:val="16"/>
              </w:rPr>
            </w:pPr>
            <w:r>
              <w:rPr>
                <w:rFonts w:hint="eastAsia" w:ascii="Segoe UI Emoji" w:hAnsi="Segoe UI Emoji" w:cs="Segoe UI Emoji"/>
                <w:sz w:val="18"/>
                <w:szCs w:val="18"/>
              </w:rPr>
              <w:t>☑</w:t>
            </w:r>
            <w:r>
              <w:rPr>
                <w:sz w:val="18"/>
                <w:szCs w:val="18"/>
              </w:rPr>
              <w:t>EM3</w:t>
            </w:r>
            <w:r>
              <w:rPr>
                <w:rFonts w:hint="eastAsia"/>
                <w:sz w:val="18"/>
                <w:szCs w:val="18"/>
              </w:rPr>
              <w:t xml:space="preserve"> 出勤</w:t>
            </w:r>
          </w:p>
        </w:tc>
        <w:tc>
          <w:tcPr>
            <w:tcW w:w="1255" w:type="dxa"/>
            <w:vAlign w:val="center"/>
          </w:tcPr>
          <w:p>
            <w:pPr>
              <w:adjustRightInd w:val="0"/>
              <w:snapToGrid w:val="0"/>
              <w:jc w:val="center"/>
              <w:rPr>
                <w:sz w:val="18"/>
                <w:szCs w:val="18"/>
              </w:rPr>
            </w:pPr>
            <w:r>
              <w:rPr>
                <w:rFonts w:hint="eastAsia"/>
                <w:sz w:val="18"/>
                <w:szCs w:val="18"/>
              </w:rPr>
              <w:t xml:space="preserve">       10</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34" w:type="dxa"/>
            <w:vMerge w:val="continue"/>
            <w:vAlign w:val="center"/>
          </w:tcPr>
          <w:p>
            <w:pPr>
              <w:adjustRightInd w:val="0"/>
              <w:snapToGrid w:val="0"/>
              <w:rPr>
                <w:rFonts w:hint="eastAsia"/>
                <w:b/>
              </w:rPr>
            </w:pPr>
          </w:p>
        </w:tc>
        <w:tc>
          <w:tcPr>
            <w:tcW w:w="410" w:type="dxa"/>
            <w:vMerge w:val="continue"/>
            <w:vAlign w:val="center"/>
          </w:tcPr>
          <w:p>
            <w:pPr>
              <w:adjustRightInd w:val="0"/>
              <w:snapToGrid w:val="0"/>
              <w:jc w:val="center"/>
              <w:rPr>
                <w:rFonts w:ascii="宋体" w:hAnsi="宋体"/>
                <w:sz w:val="18"/>
                <w:szCs w:val="18"/>
              </w:rPr>
            </w:pPr>
          </w:p>
        </w:tc>
        <w:tc>
          <w:tcPr>
            <w:tcW w:w="1857" w:type="dxa"/>
            <w:vAlign w:val="center"/>
          </w:tcPr>
          <w:p>
            <w:pPr>
              <w:adjustRightInd w:val="0"/>
              <w:snapToGrid w:val="0"/>
              <w:rPr>
                <w:sz w:val="18"/>
                <w:szCs w:val="18"/>
              </w:rPr>
            </w:pPr>
            <w:r>
              <w:rPr>
                <w:rFonts w:hint="eastAsia" w:ascii="Segoe UI Emoji" w:hAnsi="Segoe UI Emoji" w:cs="Segoe UI Emoji"/>
                <w:sz w:val="18"/>
                <w:szCs w:val="18"/>
              </w:rPr>
              <w:t>☑</w:t>
            </w:r>
            <w:r>
              <w:rPr>
                <w:sz w:val="18"/>
                <w:szCs w:val="18"/>
              </w:rPr>
              <w:t>EM4</w:t>
            </w:r>
            <w:r>
              <w:rPr>
                <w:rFonts w:hint="eastAsia"/>
                <w:sz w:val="18"/>
                <w:szCs w:val="18"/>
              </w:rPr>
              <w:t xml:space="preserve"> 期中考试</w:t>
            </w:r>
          </w:p>
        </w:tc>
        <w:tc>
          <w:tcPr>
            <w:tcW w:w="830" w:type="dxa"/>
            <w:vAlign w:val="center"/>
          </w:tcPr>
          <w:p>
            <w:pPr>
              <w:adjustRightInd w:val="0"/>
              <w:snapToGrid w:val="0"/>
              <w:jc w:val="center"/>
              <w:rPr>
                <w:sz w:val="18"/>
                <w:szCs w:val="18"/>
              </w:rPr>
            </w:pPr>
            <w:r>
              <w:rPr>
                <w:rFonts w:hint="eastAsia"/>
                <w:sz w:val="18"/>
                <w:szCs w:val="18"/>
              </w:rPr>
              <w:t xml:space="preserve">   10</w:t>
            </w:r>
            <w:r>
              <w:rPr>
                <w:sz w:val="18"/>
                <w:szCs w:val="18"/>
              </w:rPr>
              <w:t>%</w:t>
            </w:r>
          </w:p>
        </w:tc>
        <w:tc>
          <w:tcPr>
            <w:tcW w:w="1843" w:type="dxa"/>
            <w:vAlign w:val="center"/>
          </w:tcPr>
          <w:p>
            <w:pPr>
              <w:adjustRightInd w:val="0"/>
              <w:snapToGrid w:val="0"/>
              <w:rPr>
                <w:sz w:val="18"/>
                <w:szCs w:val="18"/>
              </w:rPr>
            </w:pPr>
            <w:r>
              <w:rPr>
                <w:rFonts w:hint="eastAsia" w:ascii="Segoe UI Emoji" w:hAnsi="Segoe UI Emoji" w:cs="Segoe UI Emoji"/>
                <w:sz w:val="18"/>
                <w:szCs w:val="18"/>
              </w:rPr>
              <w:t>☑</w:t>
            </w:r>
            <w:r>
              <w:rPr>
                <w:sz w:val="18"/>
                <w:szCs w:val="18"/>
              </w:rPr>
              <w:t>EM5</w:t>
            </w:r>
            <w:r>
              <w:rPr>
                <w:rFonts w:hint="eastAsia"/>
                <w:sz w:val="18"/>
                <w:szCs w:val="18"/>
              </w:rPr>
              <w:t xml:space="preserve"> 期末考试</w:t>
            </w:r>
          </w:p>
        </w:tc>
        <w:tc>
          <w:tcPr>
            <w:tcW w:w="1134" w:type="dxa"/>
            <w:gridSpan w:val="2"/>
            <w:vAlign w:val="center"/>
          </w:tcPr>
          <w:p>
            <w:pPr>
              <w:adjustRightInd w:val="0"/>
              <w:snapToGrid w:val="0"/>
              <w:jc w:val="center"/>
              <w:rPr>
                <w:sz w:val="18"/>
                <w:szCs w:val="18"/>
              </w:rPr>
            </w:pPr>
            <w:r>
              <w:rPr>
                <w:rFonts w:hint="eastAsia"/>
                <w:sz w:val="18"/>
                <w:szCs w:val="18"/>
              </w:rPr>
              <w:t xml:space="preserve">      </w:t>
            </w:r>
            <w:r>
              <w:rPr>
                <w:sz w:val="18"/>
                <w:szCs w:val="18"/>
              </w:rPr>
              <w:t>50%</w:t>
            </w:r>
          </w:p>
        </w:tc>
        <w:tc>
          <w:tcPr>
            <w:tcW w:w="1417" w:type="dxa"/>
            <w:vAlign w:val="center"/>
          </w:tcPr>
          <w:p>
            <w:pPr>
              <w:adjustRightInd w:val="0"/>
              <w:snapToGrid w:val="0"/>
              <w:rPr>
                <w:sz w:val="16"/>
                <w:szCs w:val="16"/>
              </w:rPr>
            </w:pPr>
          </w:p>
        </w:tc>
        <w:tc>
          <w:tcPr>
            <w:tcW w:w="1255" w:type="dxa"/>
            <w:vAlign w:val="center"/>
          </w:tcPr>
          <w:p>
            <w:pPr>
              <w:adjustRightInd w:val="0"/>
              <w:snapToGrid w:val="0"/>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334" w:type="dxa"/>
            <w:vMerge w:val="continue"/>
            <w:vAlign w:val="center"/>
          </w:tcPr>
          <w:p>
            <w:pPr>
              <w:adjustRightInd w:val="0"/>
              <w:snapToGrid w:val="0"/>
              <w:rPr>
                <w:rFonts w:hint="eastAsia"/>
                <w:b/>
              </w:rPr>
            </w:pPr>
          </w:p>
        </w:tc>
        <w:tc>
          <w:tcPr>
            <w:tcW w:w="410" w:type="dxa"/>
            <w:vMerge w:val="restart"/>
            <w:vAlign w:val="center"/>
          </w:tcPr>
          <w:p>
            <w:pPr>
              <w:adjustRightInd w:val="0"/>
              <w:snapToGrid w:val="0"/>
              <w:jc w:val="center"/>
              <w:rPr>
                <w:rFonts w:ascii="宋体" w:hAnsi="宋体"/>
                <w:sz w:val="18"/>
                <w:szCs w:val="18"/>
              </w:rPr>
            </w:pPr>
            <w:r>
              <w:rPr>
                <w:rFonts w:hint="eastAsia" w:ascii="宋体" w:hAnsi="宋体"/>
                <w:sz w:val="18"/>
                <w:szCs w:val="18"/>
              </w:rPr>
              <w:t>考查课必选</w:t>
            </w:r>
          </w:p>
        </w:tc>
        <w:tc>
          <w:tcPr>
            <w:tcW w:w="1857" w:type="dxa"/>
            <w:vAlign w:val="center"/>
          </w:tcPr>
          <w:p>
            <w:pPr>
              <w:adjustRightInd w:val="0"/>
              <w:snapToGrid w:val="0"/>
              <w:rPr>
                <w:sz w:val="16"/>
                <w:szCs w:val="16"/>
              </w:rPr>
            </w:pPr>
            <w:r>
              <w:rPr>
                <w:rFonts w:ascii="宋体" w:hAnsi="宋体"/>
                <w:sz w:val="18"/>
                <w:szCs w:val="18"/>
              </w:rPr>
              <w:t>□</w:t>
            </w:r>
            <w:r>
              <w:rPr>
                <w:sz w:val="18"/>
                <w:szCs w:val="18"/>
              </w:rPr>
              <w:t>EM1</w:t>
            </w:r>
            <w:r>
              <w:rPr>
                <w:rFonts w:hint="eastAsia"/>
                <w:sz w:val="18"/>
                <w:szCs w:val="18"/>
              </w:rPr>
              <w:t xml:space="preserve"> </w:t>
            </w:r>
            <w:r>
              <w:rPr>
                <w:sz w:val="18"/>
                <w:szCs w:val="18"/>
              </w:rPr>
              <w:t>课</w:t>
            </w:r>
            <w:r>
              <w:rPr>
                <w:rFonts w:hint="eastAsia"/>
                <w:sz w:val="18"/>
                <w:szCs w:val="18"/>
              </w:rPr>
              <w:t>程作业</w:t>
            </w:r>
          </w:p>
        </w:tc>
        <w:tc>
          <w:tcPr>
            <w:tcW w:w="830" w:type="dxa"/>
            <w:vAlign w:val="center"/>
          </w:tcPr>
          <w:p>
            <w:pPr>
              <w:adjustRightInd w:val="0"/>
              <w:snapToGrid w:val="0"/>
              <w:ind w:firstLine="450" w:firstLineChars="250"/>
              <w:jc w:val="left"/>
              <w:rPr>
                <w:sz w:val="18"/>
                <w:szCs w:val="18"/>
              </w:rPr>
            </w:pPr>
            <w:r>
              <w:rPr>
                <w:sz w:val="18"/>
                <w:szCs w:val="18"/>
              </w:rPr>
              <w:t>%</w:t>
            </w:r>
          </w:p>
        </w:tc>
        <w:tc>
          <w:tcPr>
            <w:tcW w:w="1843" w:type="dxa"/>
            <w:vAlign w:val="center"/>
          </w:tcPr>
          <w:p>
            <w:pPr>
              <w:adjustRightInd w:val="0"/>
              <w:snapToGrid w:val="0"/>
              <w:rPr>
                <w:sz w:val="16"/>
                <w:szCs w:val="16"/>
              </w:rPr>
            </w:pPr>
            <w:r>
              <w:rPr>
                <w:rFonts w:ascii="宋体" w:hAnsi="宋体"/>
                <w:sz w:val="18"/>
                <w:szCs w:val="18"/>
              </w:rPr>
              <w:t>□</w:t>
            </w:r>
            <w:r>
              <w:rPr>
                <w:sz w:val="18"/>
                <w:szCs w:val="18"/>
              </w:rPr>
              <w:t>EM 2</w:t>
            </w:r>
            <w:r>
              <w:rPr>
                <w:rFonts w:hint="eastAsia"/>
                <w:sz w:val="18"/>
                <w:szCs w:val="18"/>
              </w:rPr>
              <w:t xml:space="preserve"> 课堂笔记</w:t>
            </w:r>
          </w:p>
        </w:tc>
        <w:tc>
          <w:tcPr>
            <w:tcW w:w="1134" w:type="dxa"/>
            <w:gridSpan w:val="2"/>
            <w:vAlign w:val="center"/>
          </w:tcPr>
          <w:p>
            <w:pPr>
              <w:adjustRightInd w:val="0"/>
              <w:snapToGrid w:val="0"/>
              <w:jc w:val="center"/>
              <w:rPr>
                <w:sz w:val="18"/>
                <w:szCs w:val="18"/>
              </w:rPr>
            </w:pPr>
            <w:r>
              <w:rPr>
                <w:rFonts w:hint="eastAsia"/>
                <w:sz w:val="18"/>
                <w:szCs w:val="18"/>
              </w:rPr>
              <w:t xml:space="preserve">       </w:t>
            </w:r>
            <w:r>
              <w:rPr>
                <w:sz w:val="18"/>
                <w:szCs w:val="18"/>
              </w:rPr>
              <w:t>%</w:t>
            </w:r>
          </w:p>
        </w:tc>
        <w:tc>
          <w:tcPr>
            <w:tcW w:w="1417" w:type="dxa"/>
            <w:vAlign w:val="center"/>
          </w:tcPr>
          <w:p>
            <w:pPr>
              <w:adjustRightInd w:val="0"/>
              <w:snapToGrid w:val="0"/>
              <w:rPr>
                <w:sz w:val="16"/>
                <w:szCs w:val="16"/>
              </w:rPr>
            </w:pPr>
            <w:r>
              <w:rPr>
                <w:rFonts w:ascii="宋体" w:hAnsi="宋体"/>
                <w:sz w:val="18"/>
                <w:szCs w:val="18"/>
              </w:rPr>
              <w:t>□</w:t>
            </w:r>
            <w:r>
              <w:rPr>
                <w:sz w:val="18"/>
                <w:szCs w:val="18"/>
              </w:rPr>
              <w:t>EM3</w:t>
            </w:r>
            <w:r>
              <w:rPr>
                <w:rFonts w:hint="eastAsia"/>
                <w:sz w:val="18"/>
                <w:szCs w:val="18"/>
              </w:rPr>
              <w:t xml:space="preserve"> 出勤</w:t>
            </w:r>
          </w:p>
        </w:tc>
        <w:tc>
          <w:tcPr>
            <w:tcW w:w="1255" w:type="dxa"/>
            <w:vAlign w:val="center"/>
          </w:tcPr>
          <w:p>
            <w:pPr>
              <w:adjustRightInd w:val="0"/>
              <w:snapToGrid w:val="0"/>
              <w:jc w:val="right"/>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34" w:type="dxa"/>
            <w:vMerge w:val="continue"/>
            <w:vAlign w:val="center"/>
          </w:tcPr>
          <w:p>
            <w:pPr>
              <w:adjustRightInd w:val="0"/>
              <w:snapToGrid w:val="0"/>
              <w:rPr>
                <w:rFonts w:hint="eastAsia"/>
                <w:b/>
              </w:rPr>
            </w:pPr>
          </w:p>
        </w:tc>
        <w:tc>
          <w:tcPr>
            <w:tcW w:w="410" w:type="dxa"/>
            <w:vMerge w:val="continue"/>
            <w:vAlign w:val="center"/>
          </w:tcPr>
          <w:p>
            <w:pPr>
              <w:adjustRightInd w:val="0"/>
              <w:snapToGrid w:val="0"/>
              <w:jc w:val="center"/>
              <w:rPr>
                <w:rFonts w:ascii="宋体" w:hAnsi="宋体"/>
                <w:sz w:val="18"/>
                <w:szCs w:val="18"/>
              </w:rPr>
            </w:pPr>
          </w:p>
        </w:tc>
        <w:tc>
          <w:tcPr>
            <w:tcW w:w="1857" w:type="dxa"/>
            <w:vAlign w:val="center"/>
          </w:tcPr>
          <w:p>
            <w:pPr>
              <w:adjustRightInd w:val="0"/>
              <w:snapToGrid w:val="0"/>
              <w:rPr>
                <w:sz w:val="18"/>
                <w:szCs w:val="18"/>
              </w:rPr>
            </w:pPr>
            <w:r>
              <w:rPr>
                <w:rFonts w:ascii="宋体" w:hAnsi="宋体"/>
                <w:sz w:val="18"/>
                <w:szCs w:val="18"/>
              </w:rPr>
              <w:t>□</w:t>
            </w:r>
            <w:r>
              <w:rPr>
                <w:sz w:val="18"/>
                <w:szCs w:val="18"/>
              </w:rPr>
              <w:t>EM4</w:t>
            </w:r>
            <w:r>
              <w:rPr>
                <w:rFonts w:hint="eastAsia"/>
                <w:sz w:val="18"/>
                <w:szCs w:val="18"/>
              </w:rPr>
              <w:t xml:space="preserve"> 期末考试</w:t>
            </w:r>
          </w:p>
        </w:tc>
        <w:tc>
          <w:tcPr>
            <w:tcW w:w="830" w:type="dxa"/>
            <w:vAlign w:val="center"/>
          </w:tcPr>
          <w:p>
            <w:pPr>
              <w:adjustRightInd w:val="0"/>
              <w:snapToGrid w:val="0"/>
              <w:jc w:val="right"/>
              <w:rPr>
                <w:sz w:val="18"/>
                <w:szCs w:val="18"/>
              </w:rPr>
            </w:pPr>
            <w:r>
              <w:rPr>
                <w:sz w:val="18"/>
                <w:szCs w:val="18"/>
              </w:rPr>
              <w:t>%</w:t>
            </w:r>
          </w:p>
        </w:tc>
        <w:tc>
          <w:tcPr>
            <w:tcW w:w="1843" w:type="dxa"/>
            <w:vAlign w:val="center"/>
          </w:tcPr>
          <w:p>
            <w:pPr>
              <w:adjustRightInd w:val="0"/>
              <w:snapToGrid w:val="0"/>
              <w:rPr>
                <w:sz w:val="18"/>
                <w:szCs w:val="18"/>
              </w:rPr>
            </w:pPr>
          </w:p>
        </w:tc>
        <w:tc>
          <w:tcPr>
            <w:tcW w:w="1134" w:type="dxa"/>
            <w:gridSpan w:val="2"/>
            <w:vAlign w:val="center"/>
          </w:tcPr>
          <w:p>
            <w:pPr>
              <w:adjustRightInd w:val="0"/>
              <w:snapToGrid w:val="0"/>
              <w:ind w:firstLine="180" w:firstLineChars="100"/>
              <w:jc w:val="right"/>
              <w:rPr>
                <w:sz w:val="18"/>
                <w:szCs w:val="18"/>
              </w:rPr>
            </w:pPr>
          </w:p>
        </w:tc>
        <w:tc>
          <w:tcPr>
            <w:tcW w:w="1417" w:type="dxa"/>
            <w:vAlign w:val="center"/>
          </w:tcPr>
          <w:p>
            <w:pPr>
              <w:adjustRightInd w:val="0"/>
              <w:snapToGrid w:val="0"/>
              <w:rPr>
                <w:sz w:val="16"/>
                <w:szCs w:val="16"/>
              </w:rPr>
            </w:pPr>
          </w:p>
        </w:tc>
        <w:tc>
          <w:tcPr>
            <w:tcW w:w="1255" w:type="dxa"/>
            <w:vAlign w:val="center"/>
          </w:tcPr>
          <w:p>
            <w:pPr>
              <w:adjustRightInd w:val="0"/>
              <w:snapToGrid w:val="0"/>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34" w:type="dxa"/>
            <w:vMerge w:val="continue"/>
            <w:vAlign w:val="center"/>
          </w:tcPr>
          <w:p>
            <w:pPr>
              <w:adjustRightInd w:val="0"/>
              <w:snapToGrid w:val="0"/>
              <w:rPr>
                <w:rFonts w:hint="eastAsia"/>
                <w:b/>
              </w:rPr>
            </w:pPr>
          </w:p>
        </w:tc>
        <w:tc>
          <w:tcPr>
            <w:tcW w:w="410" w:type="dxa"/>
            <w:vMerge w:val="restart"/>
            <w:vAlign w:val="center"/>
          </w:tcPr>
          <w:p>
            <w:pPr>
              <w:adjustRightInd w:val="0"/>
              <w:snapToGrid w:val="0"/>
              <w:jc w:val="center"/>
              <w:rPr>
                <w:rFonts w:hint="eastAsia"/>
                <w:sz w:val="18"/>
                <w:szCs w:val="18"/>
              </w:rPr>
            </w:pPr>
            <w:r>
              <w:rPr>
                <w:rFonts w:hint="eastAsia"/>
                <w:sz w:val="18"/>
                <w:szCs w:val="18"/>
              </w:rPr>
              <w:t>自选</w:t>
            </w:r>
          </w:p>
        </w:tc>
        <w:tc>
          <w:tcPr>
            <w:tcW w:w="1857" w:type="dxa"/>
            <w:vAlign w:val="center"/>
          </w:tcPr>
          <w:p>
            <w:pPr>
              <w:adjustRightInd w:val="0"/>
              <w:snapToGrid w:val="0"/>
              <w:rPr>
                <w:rFonts w:hint="eastAsia"/>
                <w:sz w:val="18"/>
                <w:szCs w:val="18"/>
              </w:rPr>
            </w:pPr>
            <w:r>
              <w:rPr>
                <w:rFonts w:ascii="宋体" w:hAnsi="宋体"/>
                <w:sz w:val="18"/>
                <w:szCs w:val="18"/>
              </w:rPr>
              <w:t>□</w:t>
            </w:r>
            <w:r>
              <w:rPr>
                <w:sz w:val="18"/>
                <w:szCs w:val="18"/>
              </w:rPr>
              <w:t>EM1</w:t>
            </w:r>
            <w:r>
              <w:rPr>
                <w:rFonts w:hint="eastAsia"/>
                <w:sz w:val="18"/>
                <w:szCs w:val="18"/>
              </w:rPr>
              <w:t>0 课堂互动</w:t>
            </w:r>
          </w:p>
        </w:tc>
        <w:tc>
          <w:tcPr>
            <w:tcW w:w="830" w:type="dxa"/>
            <w:vAlign w:val="center"/>
          </w:tcPr>
          <w:p>
            <w:pPr>
              <w:adjustRightInd w:val="0"/>
              <w:snapToGrid w:val="0"/>
              <w:jc w:val="right"/>
              <w:rPr>
                <w:rFonts w:hint="eastAsia"/>
                <w:sz w:val="18"/>
                <w:szCs w:val="18"/>
              </w:rPr>
            </w:pPr>
            <w:r>
              <w:rPr>
                <w:sz w:val="18"/>
                <w:szCs w:val="18"/>
              </w:rPr>
              <w:t>%</w:t>
            </w:r>
          </w:p>
        </w:tc>
        <w:tc>
          <w:tcPr>
            <w:tcW w:w="1843" w:type="dxa"/>
            <w:vAlign w:val="center"/>
          </w:tcPr>
          <w:p>
            <w:pPr>
              <w:adjustRightInd w:val="0"/>
              <w:snapToGrid w:val="0"/>
              <w:rPr>
                <w:rFonts w:hint="eastAsia"/>
                <w:sz w:val="18"/>
                <w:szCs w:val="18"/>
              </w:rPr>
            </w:pPr>
            <w:r>
              <w:rPr>
                <w:rFonts w:ascii="宋体" w:hAnsi="宋体"/>
                <w:sz w:val="18"/>
                <w:szCs w:val="18"/>
              </w:rPr>
              <w:t>□</w:t>
            </w:r>
            <w:r>
              <w:rPr>
                <w:sz w:val="18"/>
                <w:szCs w:val="18"/>
              </w:rPr>
              <w:t>EM</w:t>
            </w:r>
            <w:r>
              <w:rPr>
                <w:rFonts w:hint="eastAsia"/>
                <w:sz w:val="18"/>
                <w:szCs w:val="18"/>
              </w:rPr>
              <w:t>11 实验</w:t>
            </w:r>
          </w:p>
        </w:tc>
        <w:tc>
          <w:tcPr>
            <w:tcW w:w="1134" w:type="dxa"/>
            <w:gridSpan w:val="2"/>
            <w:vAlign w:val="center"/>
          </w:tcPr>
          <w:p>
            <w:pPr>
              <w:adjustRightInd w:val="0"/>
              <w:snapToGrid w:val="0"/>
              <w:jc w:val="right"/>
              <w:rPr>
                <w:rFonts w:hint="eastAsia"/>
                <w:sz w:val="18"/>
                <w:szCs w:val="18"/>
              </w:rPr>
            </w:pPr>
            <w:r>
              <w:rPr>
                <w:sz w:val="18"/>
                <w:szCs w:val="18"/>
              </w:rPr>
              <w:t>%</w:t>
            </w:r>
          </w:p>
        </w:tc>
        <w:tc>
          <w:tcPr>
            <w:tcW w:w="1417" w:type="dxa"/>
            <w:vAlign w:val="center"/>
          </w:tcPr>
          <w:p>
            <w:pPr>
              <w:adjustRightInd w:val="0"/>
              <w:snapToGrid w:val="0"/>
              <w:rPr>
                <w:rFonts w:hint="eastAsia"/>
                <w:sz w:val="18"/>
                <w:szCs w:val="18"/>
              </w:rPr>
            </w:pPr>
            <w:r>
              <w:rPr>
                <w:rFonts w:ascii="宋体" w:hAnsi="宋体"/>
                <w:sz w:val="18"/>
                <w:szCs w:val="18"/>
              </w:rPr>
              <w:t>□</w:t>
            </w:r>
            <w:r>
              <w:rPr>
                <w:sz w:val="18"/>
                <w:szCs w:val="18"/>
              </w:rPr>
              <w:t>EM</w:t>
            </w:r>
            <w:r>
              <w:rPr>
                <w:rFonts w:hint="eastAsia"/>
                <w:sz w:val="18"/>
                <w:szCs w:val="18"/>
              </w:rPr>
              <w:t>12</w:t>
            </w:r>
            <w:r>
              <w:rPr>
                <w:sz w:val="18"/>
                <w:szCs w:val="18"/>
              </w:rPr>
              <w:t xml:space="preserve"> </w:t>
            </w:r>
            <w:r>
              <w:rPr>
                <w:rFonts w:hint="eastAsia"/>
                <w:sz w:val="18"/>
                <w:szCs w:val="18"/>
              </w:rPr>
              <w:t>实训</w:t>
            </w:r>
          </w:p>
        </w:tc>
        <w:tc>
          <w:tcPr>
            <w:tcW w:w="1255" w:type="dxa"/>
            <w:vAlign w:val="center"/>
          </w:tcPr>
          <w:p>
            <w:pPr>
              <w:adjustRightInd w:val="0"/>
              <w:snapToGrid w:val="0"/>
              <w:jc w:val="right"/>
              <w:rPr>
                <w:rFonts w:hint="eastAsia"/>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34" w:type="dxa"/>
            <w:vMerge w:val="continue"/>
            <w:vAlign w:val="center"/>
          </w:tcPr>
          <w:p>
            <w:pPr>
              <w:adjustRightInd w:val="0"/>
              <w:snapToGrid w:val="0"/>
              <w:rPr>
                <w:rFonts w:hint="eastAsia"/>
                <w:b/>
              </w:rPr>
            </w:pPr>
          </w:p>
        </w:tc>
        <w:tc>
          <w:tcPr>
            <w:tcW w:w="410" w:type="dxa"/>
            <w:vMerge w:val="continue"/>
            <w:vAlign w:val="center"/>
          </w:tcPr>
          <w:p>
            <w:pPr>
              <w:adjustRightInd w:val="0"/>
              <w:snapToGrid w:val="0"/>
              <w:rPr>
                <w:rFonts w:hint="eastAsia"/>
                <w:sz w:val="18"/>
                <w:szCs w:val="18"/>
              </w:rPr>
            </w:pPr>
          </w:p>
        </w:tc>
        <w:tc>
          <w:tcPr>
            <w:tcW w:w="1857" w:type="dxa"/>
            <w:vAlign w:val="center"/>
          </w:tcPr>
          <w:p>
            <w:pPr>
              <w:adjustRightInd w:val="0"/>
              <w:snapToGrid w:val="0"/>
              <w:rPr>
                <w:rFonts w:hint="eastAsia"/>
                <w:sz w:val="18"/>
                <w:szCs w:val="18"/>
              </w:rPr>
            </w:pPr>
            <w:r>
              <w:rPr>
                <w:rFonts w:ascii="宋体" w:hAnsi="宋体"/>
                <w:sz w:val="18"/>
                <w:szCs w:val="18"/>
              </w:rPr>
              <w:t>□</w:t>
            </w:r>
            <w:r>
              <w:rPr>
                <w:sz w:val="18"/>
                <w:szCs w:val="18"/>
              </w:rPr>
              <w:t>EM</w:t>
            </w:r>
            <w:r>
              <w:rPr>
                <w:rFonts w:hint="eastAsia"/>
                <w:sz w:val="18"/>
                <w:szCs w:val="18"/>
              </w:rPr>
              <w:t>13实践</w:t>
            </w:r>
          </w:p>
        </w:tc>
        <w:tc>
          <w:tcPr>
            <w:tcW w:w="830" w:type="dxa"/>
            <w:vAlign w:val="center"/>
          </w:tcPr>
          <w:p>
            <w:pPr>
              <w:adjustRightInd w:val="0"/>
              <w:snapToGrid w:val="0"/>
              <w:jc w:val="right"/>
              <w:rPr>
                <w:rFonts w:hint="eastAsia"/>
                <w:sz w:val="18"/>
                <w:szCs w:val="18"/>
              </w:rPr>
            </w:pPr>
            <w:r>
              <w:rPr>
                <w:sz w:val="18"/>
                <w:szCs w:val="18"/>
              </w:rPr>
              <w:t>%</w:t>
            </w:r>
          </w:p>
        </w:tc>
        <w:tc>
          <w:tcPr>
            <w:tcW w:w="1843" w:type="dxa"/>
            <w:vAlign w:val="center"/>
          </w:tcPr>
          <w:p>
            <w:pPr>
              <w:adjustRightInd w:val="0"/>
              <w:snapToGrid w:val="0"/>
              <w:rPr>
                <w:rFonts w:hint="eastAsia"/>
                <w:sz w:val="18"/>
                <w:szCs w:val="18"/>
              </w:rPr>
            </w:pPr>
            <w:r>
              <w:rPr>
                <w:rFonts w:ascii="宋体" w:hAnsi="宋体"/>
                <w:sz w:val="18"/>
                <w:szCs w:val="18"/>
              </w:rPr>
              <w:t>□</w:t>
            </w:r>
            <w:r>
              <w:rPr>
                <w:sz w:val="18"/>
                <w:szCs w:val="18"/>
              </w:rPr>
              <w:t>EM</w:t>
            </w:r>
            <w:r>
              <w:rPr>
                <w:rFonts w:hint="eastAsia"/>
                <w:sz w:val="18"/>
                <w:szCs w:val="18"/>
              </w:rPr>
              <w:t>14 期末考试</w:t>
            </w:r>
          </w:p>
        </w:tc>
        <w:tc>
          <w:tcPr>
            <w:tcW w:w="1134" w:type="dxa"/>
            <w:gridSpan w:val="2"/>
            <w:vAlign w:val="center"/>
          </w:tcPr>
          <w:p>
            <w:pPr>
              <w:adjustRightInd w:val="0"/>
              <w:snapToGrid w:val="0"/>
              <w:jc w:val="right"/>
              <w:rPr>
                <w:rFonts w:hint="eastAsia"/>
                <w:sz w:val="18"/>
                <w:szCs w:val="18"/>
              </w:rPr>
            </w:pPr>
            <w:r>
              <w:rPr>
                <w:sz w:val="18"/>
                <w:szCs w:val="18"/>
              </w:rPr>
              <w:t>%</w:t>
            </w:r>
          </w:p>
        </w:tc>
        <w:tc>
          <w:tcPr>
            <w:tcW w:w="1417" w:type="dxa"/>
            <w:vAlign w:val="center"/>
          </w:tcPr>
          <w:p>
            <w:pPr>
              <w:adjustRightInd w:val="0"/>
              <w:snapToGrid w:val="0"/>
              <w:rPr>
                <w:rFonts w:hint="eastAsia"/>
                <w:sz w:val="18"/>
                <w:szCs w:val="18"/>
              </w:rPr>
            </w:pPr>
          </w:p>
        </w:tc>
        <w:tc>
          <w:tcPr>
            <w:tcW w:w="1255" w:type="dxa"/>
            <w:vAlign w:val="center"/>
          </w:tcPr>
          <w:p>
            <w:pPr>
              <w:adjustRightInd w:val="0"/>
              <w:snapToGrid w:val="0"/>
              <w:jc w:val="right"/>
              <w:rPr>
                <w:rFonts w:hint="eastAsia"/>
                <w:sz w:val="18"/>
                <w:szCs w:val="18"/>
              </w:rPr>
            </w:pPr>
          </w:p>
        </w:tc>
      </w:tr>
    </w:tbl>
    <w:p>
      <w:pPr>
        <w:outlineLvl w:val="0"/>
        <w:rPr>
          <w:rFonts w:hint="eastAsia" w:eastAsia="黑体"/>
          <w:sz w:val="28"/>
          <w:szCs w:val="28"/>
        </w:rPr>
      </w:pPr>
      <w:r>
        <w:br w:type="page"/>
      </w:r>
      <w:r>
        <w:rPr>
          <w:rFonts w:hint="eastAsia" w:eastAsia="黑体"/>
          <w:b/>
          <w:bCs/>
          <w:sz w:val="30"/>
          <w:szCs w:val="30"/>
        </w:rPr>
        <w:t>二、教学内容及要求</w:t>
      </w:r>
    </w:p>
    <w:p>
      <w:pPr>
        <w:outlineLvl w:val="0"/>
        <w:rPr>
          <w:rFonts w:ascii="宋体" w:hAnsi="宋体" w:cs="宋体"/>
          <w:b/>
          <w:bCs/>
          <w:color w:val="000000"/>
        </w:rPr>
      </w:pPr>
      <w:r>
        <w:rPr>
          <w:rFonts w:hint="eastAsia" w:ascii="宋体" w:hAnsi="宋体" w:cs="宋体"/>
          <w:b/>
          <w:bCs/>
          <w:color w:val="000000"/>
        </w:rPr>
        <w:t>第一单元（章）</w:t>
      </w:r>
      <w:r>
        <w:rPr>
          <w:rFonts w:hint="eastAsia" w:ascii="宋体" w:hAnsi="宋体"/>
          <w:color w:val="000000"/>
        </w:rPr>
        <w:t xml:space="preserve"> </w:t>
      </w:r>
      <w:r>
        <w:rPr>
          <w:rFonts w:hint="eastAsia" w:ascii="宋体" w:hAnsi="宋体" w:cs="宋体"/>
          <w:b/>
          <w:bCs/>
          <w:color w:val="000000"/>
        </w:rPr>
        <w:t>导论</w:t>
      </w:r>
    </w:p>
    <w:p>
      <w:pPr>
        <w:ind w:firstLine="420" w:firstLineChars="200"/>
        <w:outlineLvl w:val="0"/>
        <w:rPr>
          <w:rFonts w:ascii="宋体" w:hAnsi="宋体"/>
          <w:color w:val="000000"/>
        </w:rPr>
      </w:pPr>
      <w:r>
        <w:rPr>
          <w:rFonts w:hint="eastAsia" w:ascii="宋体" w:hAnsi="宋体"/>
          <w:color w:val="000000"/>
        </w:rPr>
        <w:t>教学要求 理解人力资源的概念、人力资源的主要特征、人力资源的开发与管理、公共部门人力资源的损耗与增值、公共部门人力资源的开发模式、人力资源开发与管理中的政府行为；掌握公共部门人力资源开发与管理的含义及其性质、现代公共部门人力资源管理发展的新趋势、21世纪人力资源的特征、新世纪我国人力资源开发与管理应该注意的问题。</w:t>
      </w:r>
      <w:r>
        <w:rPr>
          <w:rFonts w:hint="eastAsia" w:ascii="宋体" w:hAnsi="宋体"/>
          <w:bCs/>
          <w:color w:val="000000"/>
          <w:kern w:val="0"/>
          <w:szCs w:val="21"/>
          <w:u w:val="single"/>
        </w:rPr>
        <w:t>同时，阐述公共部门人力资源在未来公共部门人力资源开发中的重要价值和意义，培养专业学生的社会责任感和使命感</w:t>
      </w:r>
      <w:r>
        <w:rPr>
          <w:rFonts w:hint="eastAsia" w:ascii="宋体" w:hAnsi="宋体"/>
          <w:bCs/>
          <w:color w:val="000000"/>
          <w:kern w:val="0"/>
          <w:szCs w:val="21"/>
        </w:rPr>
        <w:t>。</w:t>
      </w:r>
    </w:p>
    <w:p>
      <w:pPr>
        <w:ind w:firstLine="420" w:firstLineChars="200"/>
        <w:outlineLvl w:val="0"/>
        <w:rPr>
          <w:rFonts w:hint="eastAsia" w:ascii="宋体" w:hAnsi="宋体"/>
          <w:color w:val="000000"/>
        </w:rPr>
      </w:pPr>
      <w:r>
        <w:rPr>
          <w:rFonts w:hint="eastAsia" w:ascii="宋体" w:hAnsi="宋体"/>
          <w:color w:val="000000"/>
        </w:rPr>
        <w:t>教学重点 公共部门人力资源的损耗与增值及开发模式、现代公共部门人力资源管理发展的新趋势</w:t>
      </w:r>
    </w:p>
    <w:p>
      <w:pPr>
        <w:ind w:firstLine="420" w:firstLineChars="200"/>
        <w:outlineLvl w:val="0"/>
        <w:rPr>
          <w:rFonts w:ascii="宋体" w:hAnsi="宋体"/>
          <w:color w:val="000000"/>
        </w:rPr>
      </w:pPr>
      <w:r>
        <w:rPr>
          <w:rFonts w:hint="eastAsia" w:ascii="宋体" w:hAnsi="宋体"/>
          <w:color w:val="000000"/>
        </w:rPr>
        <w:t>教学难点 公共部门人力资源管理与私人部门比较</w:t>
      </w:r>
    </w:p>
    <w:p>
      <w:pPr>
        <w:outlineLvl w:val="0"/>
        <w:rPr>
          <w:rFonts w:hint="eastAsia" w:ascii="宋体" w:hAnsi="宋体" w:cs="宋体"/>
          <w:b/>
          <w:bCs/>
          <w:color w:val="000000"/>
        </w:rPr>
      </w:pPr>
      <w:r>
        <w:rPr>
          <w:rFonts w:hint="eastAsia" w:ascii="宋体" w:hAnsi="宋体" w:cs="宋体"/>
          <w:b/>
          <w:bCs/>
          <w:color w:val="000000"/>
        </w:rPr>
        <w:t>第二单元（章） 公共部门人事行政的基本制度安排</w:t>
      </w:r>
    </w:p>
    <w:p>
      <w:pPr>
        <w:ind w:firstLine="420" w:firstLineChars="200"/>
        <w:outlineLvl w:val="0"/>
        <w:rPr>
          <w:rFonts w:ascii="宋体" w:hAnsi="宋体"/>
          <w:color w:val="000000"/>
        </w:rPr>
      </w:pPr>
      <w:r>
        <w:rPr>
          <w:rFonts w:hint="eastAsia" w:ascii="宋体" w:hAnsi="宋体"/>
          <w:color w:val="000000"/>
        </w:rPr>
        <w:t>教学要求 了解国家公务员制度产生和发展的社会背景，了解国家公务员制度产生的理论基础、目标与基本精神，理解国家公务员制度的特征与内在运行机制，掌握中国公务员制度的改革、完善及其特征。</w:t>
      </w:r>
      <w:r>
        <w:rPr>
          <w:rFonts w:hint="eastAsia" w:ascii="宋体" w:hAnsi="宋体"/>
          <w:color w:val="000000"/>
          <w:u w:val="single"/>
        </w:rPr>
        <w:t>引入当前国家重拳出击反腐的种种制度安排，培育学生廉洁、正义的思想意识</w:t>
      </w:r>
      <w:r>
        <w:rPr>
          <w:rFonts w:hint="eastAsia" w:ascii="宋体" w:hAnsi="宋体"/>
          <w:color w:val="000000"/>
        </w:rPr>
        <w:t>。</w:t>
      </w:r>
    </w:p>
    <w:p>
      <w:pPr>
        <w:ind w:firstLine="420" w:firstLineChars="200"/>
        <w:outlineLvl w:val="0"/>
        <w:rPr>
          <w:rFonts w:hint="eastAsia" w:ascii="宋体" w:hAnsi="宋体"/>
          <w:color w:val="000000"/>
        </w:rPr>
      </w:pPr>
      <w:r>
        <w:rPr>
          <w:rFonts w:hint="eastAsia" w:ascii="宋体" w:hAnsi="宋体"/>
          <w:color w:val="000000"/>
        </w:rPr>
        <w:t>教学重点 中国公务员制度的改革与完善</w:t>
      </w:r>
    </w:p>
    <w:p>
      <w:pPr>
        <w:ind w:firstLine="420" w:firstLineChars="200"/>
        <w:outlineLvl w:val="0"/>
        <w:rPr>
          <w:rFonts w:ascii="宋体" w:hAnsi="宋体"/>
          <w:color w:val="000000"/>
        </w:rPr>
      </w:pPr>
      <w:r>
        <w:rPr>
          <w:rFonts w:hint="eastAsia" w:ascii="宋体" w:hAnsi="宋体"/>
          <w:color w:val="000000"/>
        </w:rPr>
        <w:t>教学难点 中国公务员制度的基本特征</w:t>
      </w:r>
    </w:p>
    <w:p>
      <w:pPr>
        <w:outlineLvl w:val="0"/>
        <w:rPr>
          <w:rFonts w:hint="eastAsia" w:ascii="宋体" w:hAnsi="宋体" w:cs="宋体"/>
          <w:b/>
          <w:bCs/>
          <w:color w:val="000000"/>
        </w:rPr>
      </w:pPr>
      <w:r>
        <w:rPr>
          <w:rFonts w:hint="eastAsia" w:ascii="宋体" w:hAnsi="宋体" w:cs="宋体"/>
          <w:b/>
          <w:bCs/>
          <w:color w:val="000000"/>
        </w:rPr>
        <w:t>第三单元（章） 变革中的公共部门人事行政管理：迈向人力资源管理模式</w:t>
      </w:r>
    </w:p>
    <w:p>
      <w:pPr>
        <w:ind w:firstLine="420" w:firstLineChars="200"/>
        <w:outlineLvl w:val="0"/>
        <w:rPr>
          <w:rFonts w:ascii="宋体" w:hAnsi="宋体"/>
          <w:color w:val="000000"/>
        </w:rPr>
      </w:pPr>
      <w:r>
        <w:rPr>
          <w:rFonts w:hint="eastAsia" w:ascii="宋体" w:hAnsi="宋体"/>
          <w:color w:val="000000"/>
        </w:rPr>
        <w:t>教学要求 在理解并掌握公共部门人力资源管理变革、发展的背景的基础上，了解今天公共部门人力资源管理的目标选择和变化状态，了解公共部门人力资源管理变革的基本方向，感知并理解公共部门人力资源管理的发展前景。</w:t>
      </w:r>
      <w:r>
        <w:rPr>
          <w:rFonts w:hint="eastAsia" w:ascii="宋体" w:hAnsi="宋体"/>
          <w:color w:val="000000"/>
          <w:u w:val="single"/>
        </w:rPr>
        <w:t>从制度层面分析中国特色公共部门人事管理制度的优越性，结合案例教学视频和课程讨论，阐述我国政府在公共部门人力资源管理实践中不断反思，在实践探索中发现问题、改进问题</w:t>
      </w:r>
      <w:r>
        <w:rPr>
          <w:rFonts w:hint="eastAsia" w:ascii="宋体" w:hAnsi="宋体"/>
          <w:color w:val="000000"/>
        </w:rPr>
        <w:t>。</w:t>
      </w:r>
    </w:p>
    <w:p>
      <w:pPr>
        <w:ind w:firstLine="420" w:firstLineChars="200"/>
        <w:outlineLvl w:val="0"/>
        <w:rPr>
          <w:rFonts w:hint="eastAsia" w:ascii="宋体" w:hAnsi="宋体"/>
          <w:color w:val="000000"/>
        </w:rPr>
      </w:pPr>
      <w:r>
        <w:rPr>
          <w:rFonts w:hint="eastAsia" w:ascii="宋体" w:hAnsi="宋体"/>
          <w:color w:val="000000"/>
        </w:rPr>
        <w:t>教学重点 公共部门人力资源管理变革的价值取向</w:t>
      </w:r>
    </w:p>
    <w:p>
      <w:pPr>
        <w:ind w:firstLine="420" w:firstLineChars="200"/>
        <w:outlineLvl w:val="0"/>
        <w:rPr>
          <w:rFonts w:ascii="宋体" w:hAnsi="宋体"/>
          <w:color w:val="000000"/>
        </w:rPr>
      </w:pPr>
      <w:r>
        <w:rPr>
          <w:rFonts w:hint="eastAsia" w:ascii="宋体" w:hAnsi="宋体"/>
          <w:color w:val="000000"/>
        </w:rPr>
        <w:t>教学难点 公共部门人力资源管理变革的基本方向</w:t>
      </w:r>
    </w:p>
    <w:p>
      <w:pPr>
        <w:outlineLvl w:val="0"/>
        <w:rPr>
          <w:rFonts w:hint="eastAsia" w:ascii="宋体" w:hAnsi="宋体" w:cs="宋体"/>
          <w:b/>
          <w:bCs/>
          <w:color w:val="000000"/>
        </w:rPr>
      </w:pPr>
      <w:r>
        <w:rPr>
          <w:rFonts w:hint="eastAsia" w:ascii="宋体" w:hAnsi="宋体" w:cs="宋体"/>
          <w:b/>
          <w:bCs/>
          <w:color w:val="000000"/>
        </w:rPr>
        <w:t>第四单元（章） 公共部门人力资源战略管理</w:t>
      </w:r>
    </w:p>
    <w:p>
      <w:pPr>
        <w:ind w:firstLine="420" w:firstLineChars="200"/>
        <w:outlineLvl w:val="0"/>
        <w:rPr>
          <w:rFonts w:ascii="宋体" w:hAnsi="宋体"/>
          <w:color w:val="000000"/>
        </w:rPr>
      </w:pPr>
      <w:r>
        <w:rPr>
          <w:rFonts w:hint="eastAsia" w:ascii="宋体" w:hAnsi="宋体"/>
          <w:color w:val="000000"/>
        </w:rPr>
        <w:t>教学要求 了解人力资源的战略问题与环境因素评价，理解政治、经济、社会、文化在人力资源战略的影响，掌握组织内外部环境诸多因素分析的着眼点以及因素评价方法。理解人力资源战略制定的过程、方法、可行性评估及其实施评估。</w:t>
      </w:r>
      <w:r>
        <w:rPr>
          <w:rFonts w:hint="eastAsia" w:ascii="宋体" w:hAnsi="宋体"/>
          <w:color w:val="000000"/>
          <w:u w:val="single"/>
        </w:rPr>
        <w:t>分析公共部门人力资源储备战略对于提升我国未来公共部门运行效率与效果的重要意义</w:t>
      </w:r>
      <w:r>
        <w:rPr>
          <w:rFonts w:hint="eastAsia" w:ascii="宋体" w:hAnsi="宋体"/>
          <w:color w:val="000000"/>
        </w:rPr>
        <w:t>。</w:t>
      </w:r>
    </w:p>
    <w:p>
      <w:pPr>
        <w:ind w:firstLine="420" w:firstLineChars="200"/>
        <w:outlineLvl w:val="0"/>
        <w:rPr>
          <w:rFonts w:hint="eastAsia" w:ascii="宋体" w:hAnsi="宋体"/>
          <w:color w:val="000000"/>
        </w:rPr>
      </w:pPr>
      <w:r>
        <w:rPr>
          <w:rFonts w:hint="eastAsia" w:ascii="宋体" w:hAnsi="宋体"/>
          <w:color w:val="000000"/>
        </w:rPr>
        <w:t>教学重点 公共部门人力资源的战略问题和环境因素</w:t>
      </w:r>
    </w:p>
    <w:p>
      <w:pPr>
        <w:ind w:firstLine="420" w:firstLineChars="200"/>
        <w:outlineLvl w:val="0"/>
        <w:rPr>
          <w:rFonts w:ascii="宋体" w:hAnsi="宋体"/>
          <w:color w:val="000000"/>
        </w:rPr>
      </w:pPr>
      <w:r>
        <w:rPr>
          <w:rFonts w:hint="eastAsia" w:ascii="宋体" w:hAnsi="宋体"/>
          <w:color w:val="000000"/>
        </w:rPr>
        <w:t>教学难点 公共部门人力资源战略制定的方法</w:t>
      </w:r>
    </w:p>
    <w:p>
      <w:pPr>
        <w:rPr>
          <w:rFonts w:hint="eastAsia" w:ascii="宋体" w:hAnsi="宋体"/>
          <w:b/>
          <w:bCs/>
          <w:color w:val="000000"/>
        </w:rPr>
      </w:pPr>
      <w:r>
        <w:rPr>
          <w:rFonts w:ascii="宋体" w:hAnsi="宋体"/>
          <w:b/>
          <w:bCs/>
          <w:color w:val="000000"/>
        </w:rPr>
        <w:t>第</w:t>
      </w:r>
      <w:r>
        <w:rPr>
          <w:rFonts w:hint="eastAsia" w:ascii="宋体" w:hAnsi="宋体"/>
          <w:b/>
          <w:bCs/>
          <w:color w:val="000000"/>
        </w:rPr>
        <w:t>五</w:t>
      </w:r>
      <w:r>
        <w:rPr>
          <w:rFonts w:hint="eastAsia" w:ascii="宋体" w:hAnsi="宋体" w:cs="宋体"/>
          <w:b/>
          <w:bCs/>
          <w:color w:val="000000"/>
        </w:rPr>
        <w:t>单元（章）</w:t>
      </w:r>
      <w:r>
        <w:rPr>
          <w:rFonts w:hint="eastAsia" w:ascii="宋体" w:hAnsi="宋体"/>
          <w:b/>
          <w:bCs/>
          <w:color w:val="000000"/>
        </w:rPr>
        <w:t xml:space="preserve"> </w:t>
      </w:r>
      <w:r>
        <w:rPr>
          <w:rFonts w:ascii="宋体" w:hAnsi="宋体"/>
          <w:b/>
          <w:bCs/>
          <w:color w:val="000000"/>
        </w:rPr>
        <w:t>公共部门工作分析</w:t>
      </w:r>
      <w:r>
        <w:rPr>
          <w:rFonts w:hint="eastAsia" w:ascii="宋体" w:hAnsi="宋体"/>
          <w:b/>
          <w:bCs/>
          <w:color w:val="000000"/>
        </w:rPr>
        <w:t>与</w:t>
      </w:r>
      <w:r>
        <w:rPr>
          <w:rFonts w:ascii="宋体" w:hAnsi="宋体"/>
          <w:b/>
          <w:bCs/>
          <w:color w:val="000000"/>
        </w:rPr>
        <w:t>职位</w:t>
      </w:r>
      <w:r>
        <w:rPr>
          <w:rFonts w:hint="eastAsia" w:ascii="宋体" w:hAnsi="宋体"/>
          <w:b/>
          <w:bCs/>
          <w:color w:val="000000"/>
        </w:rPr>
        <w:t>评价</w:t>
      </w:r>
    </w:p>
    <w:p>
      <w:pPr>
        <w:ind w:firstLine="420" w:firstLineChars="200"/>
        <w:outlineLvl w:val="0"/>
        <w:rPr>
          <w:rFonts w:ascii="宋体" w:hAnsi="宋体"/>
          <w:color w:val="000000"/>
        </w:rPr>
      </w:pPr>
      <w:r>
        <w:rPr>
          <w:rFonts w:ascii="宋体" w:hAnsi="宋体"/>
          <w:color w:val="000000"/>
        </w:rPr>
        <w:t>教学要求</w:t>
      </w:r>
      <w:r>
        <w:rPr>
          <w:rFonts w:hint="eastAsia" w:ascii="宋体" w:hAnsi="宋体"/>
          <w:color w:val="000000"/>
        </w:rPr>
        <w:t xml:space="preserve"> </w:t>
      </w:r>
      <w:r>
        <w:rPr>
          <w:rFonts w:ascii="宋体" w:hAnsi="宋体"/>
          <w:color w:val="000000"/>
        </w:rPr>
        <w:t>了解工作分析的概念及其思想渊源和实践发展、我国公共部门的人员分类制度；理解公共部门工作分析的作用、品位分类管理与职位分类管理的特点与区别、把握公共部门人员分类制度的发展趋势；掌握工作分析的程序与方法、公共部门工作评估的方法。</w:t>
      </w:r>
      <w:r>
        <w:rPr>
          <w:rFonts w:hint="eastAsia" w:ascii="宋体" w:hAnsi="宋体"/>
          <w:color w:val="000000"/>
          <w:u w:val="single"/>
        </w:rPr>
        <w:t>通过学习，要让学生掌握马克思主义认识问题、分析问题的哲学观、认识论与方法论的基本内容，帮助学生树立用马克思主义科学理论来认识问题、分析问题的理念、观念和意识</w:t>
      </w:r>
      <w:r>
        <w:rPr>
          <w:rFonts w:hint="eastAsia" w:ascii="宋体" w:hAnsi="宋体"/>
          <w:color w:val="000000"/>
        </w:rPr>
        <w:t>。</w:t>
      </w:r>
    </w:p>
    <w:p>
      <w:pPr>
        <w:ind w:firstLine="420" w:firstLineChars="200"/>
        <w:outlineLvl w:val="0"/>
        <w:rPr>
          <w:rFonts w:ascii="宋体" w:hAnsi="宋体"/>
          <w:color w:val="000000"/>
        </w:rPr>
      </w:pPr>
      <w:r>
        <w:rPr>
          <w:rFonts w:ascii="宋体" w:hAnsi="宋体"/>
          <w:color w:val="000000"/>
        </w:rPr>
        <w:t>教学重点</w:t>
      </w:r>
      <w:r>
        <w:rPr>
          <w:rFonts w:hint="eastAsia" w:ascii="宋体" w:hAnsi="宋体"/>
          <w:color w:val="000000"/>
        </w:rPr>
        <w:t xml:space="preserve"> </w:t>
      </w:r>
      <w:r>
        <w:rPr>
          <w:rFonts w:ascii="宋体" w:hAnsi="宋体"/>
          <w:color w:val="000000"/>
        </w:rPr>
        <w:t>公共部门分类管理</w:t>
      </w:r>
      <w:r>
        <w:rPr>
          <w:rFonts w:hint="eastAsia" w:ascii="宋体" w:hAnsi="宋体"/>
          <w:color w:val="000000"/>
        </w:rPr>
        <w:t>特点、</w:t>
      </w:r>
      <w:r>
        <w:rPr>
          <w:rFonts w:ascii="宋体" w:hAnsi="宋体"/>
          <w:color w:val="000000"/>
        </w:rPr>
        <w:t>公共部门工作评估方法</w:t>
      </w:r>
    </w:p>
    <w:p>
      <w:pPr>
        <w:ind w:firstLine="420" w:firstLineChars="200"/>
        <w:outlineLvl w:val="0"/>
        <w:rPr>
          <w:rFonts w:ascii="宋体" w:hAnsi="宋体"/>
          <w:color w:val="000000"/>
        </w:rPr>
      </w:pPr>
      <w:r>
        <w:rPr>
          <w:rFonts w:ascii="宋体" w:hAnsi="宋体"/>
          <w:color w:val="000000"/>
        </w:rPr>
        <w:t>教学难点</w:t>
      </w:r>
      <w:r>
        <w:rPr>
          <w:rFonts w:hint="eastAsia" w:ascii="宋体" w:hAnsi="宋体"/>
          <w:color w:val="000000"/>
        </w:rPr>
        <w:t xml:space="preserve"> </w:t>
      </w:r>
      <w:r>
        <w:rPr>
          <w:rFonts w:ascii="宋体" w:hAnsi="宋体"/>
          <w:color w:val="000000"/>
        </w:rPr>
        <w:t>公共部门</w:t>
      </w:r>
      <w:r>
        <w:rPr>
          <w:rFonts w:hint="eastAsia" w:ascii="宋体" w:hAnsi="宋体"/>
          <w:color w:val="000000"/>
        </w:rPr>
        <w:t>工作分析与</w:t>
      </w:r>
      <w:r>
        <w:rPr>
          <w:rFonts w:ascii="宋体" w:hAnsi="宋体"/>
          <w:color w:val="000000"/>
        </w:rPr>
        <w:t>分类管理</w:t>
      </w:r>
      <w:r>
        <w:rPr>
          <w:rFonts w:hint="eastAsia" w:ascii="宋体" w:hAnsi="宋体"/>
          <w:color w:val="000000"/>
        </w:rPr>
        <w:t>公共部门分类管理特点</w:t>
      </w:r>
    </w:p>
    <w:p>
      <w:pPr>
        <w:rPr>
          <w:rFonts w:ascii="宋体" w:hAnsi="宋体" w:cs="宋体"/>
          <w:color w:val="000000"/>
          <w:kern w:val="0"/>
          <w:szCs w:val="21"/>
        </w:rPr>
      </w:pPr>
      <w:r>
        <w:rPr>
          <w:rFonts w:ascii="宋体" w:hAnsi="宋体"/>
          <w:b/>
          <w:bCs/>
          <w:color w:val="000000"/>
        </w:rPr>
        <w:t>第</w:t>
      </w:r>
      <w:r>
        <w:rPr>
          <w:rFonts w:hint="eastAsia" w:ascii="宋体" w:hAnsi="宋体"/>
          <w:b/>
          <w:bCs/>
          <w:color w:val="000000"/>
        </w:rPr>
        <w:t>六</w:t>
      </w:r>
      <w:r>
        <w:rPr>
          <w:rFonts w:hint="eastAsia" w:ascii="宋体" w:hAnsi="宋体" w:cs="宋体"/>
          <w:b/>
          <w:bCs/>
          <w:color w:val="000000"/>
        </w:rPr>
        <w:t>单元（章）</w:t>
      </w:r>
      <w:r>
        <w:rPr>
          <w:rFonts w:hint="eastAsia" w:ascii="宋体" w:hAnsi="宋体"/>
          <w:b/>
          <w:bCs/>
          <w:color w:val="000000"/>
        </w:rPr>
        <w:t xml:space="preserve"> </w:t>
      </w:r>
      <w:r>
        <w:rPr>
          <w:rFonts w:ascii="宋体" w:hAnsi="宋体"/>
          <w:b/>
          <w:bCs/>
          <w:color w:val="000000"/>
        </w:rPr>
        <w:t>公共部门</w:t>
      </w:r>
      <w:r>
        <w:rPr>
          <w:rFonts w:hint="eastAsia" w:ascii="宋体" w:hAnsi="宋体"/>
          <w:b/>
          <w:bCs/>
          <w:color w:val="000000"/>
        </w:rPr>
        <w:t>人员</w:t>
      </w:r>
      <w:r>
        <w:rPr>
          <w:rFonts w:ascii="宋体" w:hAnsi="宋体"/>
          <w:b/>
          <w:bCs/>
          <w:color w:val="000000"/>
        </w:rPr>
        <w:t>招募与</w:t>
      </w:r>
      <w:r>
        <w:rPr>
          <w:rFonts w:hint="eastAsia" w:ascii="宋体" w:hAnsi="宋体"/>
          <w:b/>
          <w:bCs/>
          <w:color w:val="000000"/>
        </w:rPr>
        <w:t>甄选</w:t>
      </w:r>
    </w:p>
    <w:p>
      <w:pPr>
        <w:ind w:firstLine="420" w:firstLineChars="200"/>
        <w:outlineLvl w:val="0"/>
        <w:rPr>
          <w:rFonts w:hint="eastAsia" w:ascii="宋体" w:hAnsi="宋体"/>
          <w:color w:val="000000"/>
          <w:u w:val="single"/>
        </w:rPr>
      </w:pPr>
      <w:r>
        <w:rPr>
          <w:rFonts w:ascii="宋体" w:hAnsi="宋体"/>
          <w:color w:val="000000"/>
        </w:rPr>
        <w:t>教学要求</w:t>
      </w:r>
      <w:r>
        <w:rPr>
          <w:rFonts w:hint="eastAsia" w:ascii="宋体" w:hAnsi="宋体"/>
          <w:color w:val="000000"/>
        </w:rPr>
        <w:t xml:space="preserve"> </w:t>
      </w:r>
      <w:r>
        <w:rPr>
          <w:rFonts w:ascii="宋体" w:hAnsi="宋体"/>
          <w:color w:val="000000"/>
        </w:rPr>
        <w:t>了解公共部门人力资源招募与选录的含义；理解公共部门人力资源获取的意义、公共部门人力资源招募与选录的原则；掌握公共部门人力资源招募与选录的程序、渠道，以及内部招募与外部招募的方法。</w:t>
      </w:r>
      <w:r>
        <w:rPr>
          <w:rFonts w:hint="eastAsia" w:ascii="宋体" w:hAnsi="宋体"/>
          <w:color w:val="000000"/>
          <w:u w:val="single"/>
        </w:rPr>
        <w:t>将社会主义核心价值观融入公共部门人员招募与甄选的分析之中，尤其是对于“敬业”、“诚信”内涵的阐释</w:t>
      </w:r>
      <w:r>
        <w:rPr>
          <w:rFonts w:hint="eastAsia" w:ascii="宋体" w:hAnsi="宋体"/>
          <w:color w:val="000000"/>
        </w:rPr>
        <w:t>。</w:t>
      </w:r>
    </w:p>
    <w:p>
      <w:pPr>
        <w:ind w:firstLine="420" w:firstLineChars="200"/>
        <w:outlineLvl w:val="0"/>
        <w:rPr>
          <w:rFonts w:ascii="宋体" w:hAnsi="宋体"/>
          <w:color w:val="000000"/>
        </w:rPr>
      </w:pPr>
      <w:r>
        <w:rPr>
          <w:rFonts w:ascii="宋体" w:hAnsi="宋体"/>
          <w:color w:val="000000"/>
        </w:rPr>
        <w:t>教学重点</w:t>
      </w:r>
      <w:r>
        <w:rPr>
          <w:rFonts w:hint="eastAsia" w:ascii="宋体" w:hAnsi="宋体"/>
          <w:color w:val="000000"/>
        </w:rPr>
        <w:t xml:space="preserve"> </w:t>
      </w:r>
      <w:r>
        <w:rPr>
          <w:rFonts w:ascii="宋体" w:hAnsi="宋体"/>
          <w:color w:val="000000"/>
        </w:rPr>
        <w:t>公共部门人力资源招募与选录的原则</w:t>
      </w:r>
      <w:r>
        <w:rPr>
          <w:rFonts w:hint="eastAsia" w:ascii="宋体" w:hAnsi="宋体"/>
          <w:color w:val="000000"/>
        </w:rPr>
        <w:t>、</w:t>
      </w:r>
      <w:r>
        <w:rPr>
          <w:rFonts w:ascii="宋体" w:hAnsi="宋体"/>
          <w:color w:val="000000"/>
        </w:rPr>
        <w:t>程序、渠道</w:t>
      </w:r>
    </w:p>
    <w:p>
      <w:pPr>
        <w:ind w:firstLine="420" w:firstLineChars="200"/>
        <w:outlineLvl w:val="0"/>
        <w:rPr>
          <w:rFonts w:ascii="宋体" w:hAnsi="宋体"/>
          <w:color w:val="000000"/>
        </w:rPr>
      </w:pPr>
      <w:r>
        <w:rPr>
          <w:rFonts w:ascii="宋体" w:hAnsi="宋体"/>
          <w:color w:val="000000"/>
        </w:rPr>
        <w:t>教学难点</w:t>
      </w:r>
      <w:r>
        <w:rPr>
          <w:rFonts w:hint="eastAsia" w:ascii="宋体" w:hAnsi="宋体"/>
          <w:color w:val="000000"/>
        </w:rPr>
        <w:t xml:space="preserve"> </w:t>
      </w:r>
      <w:r>
        <w:rPr>
          <w:rFonts w:ascii="宋体" w:hAnsi="宋体"/>
          <w:color w:val="000000"/>
        </w:rPr>
        <w:t>公共部门人力资源招募选录</w:t>
      </w:r>
      <w:r>
        <w:rPr>
          <w:rFonts w:hint="eastAsia" w:ascii="宋体" w:hAnsi="宋体"/>
          <w:color w:val="000000"/>
        </w:rPr>
        <w:t>与私人部门比较</w:t>
      </w:r>
    </w:p>
    <w:p>
      <w:pPr>
        <w:rPr>
          <w:rFonts w:ascii="宋体" w:hAnsi="宋体"/>
          <w:b/>
          <w:bCs/>
          <w:color w:val="000000"/>
        </w:rPr>
      </w:pPr>
      <w:r>
        <w:rPr>
          <w:rFonts w:ascii="宋体" w:hAnsi="宋体"/>
          <w:b/>
          <w:bCs/>
          <w:color w:val="000000"/>
        </w:rPr>
        <w:t>第</w:t>
      </w:r>
      <w:r>
        <w:rPr>
          <w:rFonts w:hint="eastAsia" w:ascii="宋体" w:hAnsi="宋体"/>
          <w:b/>
          <w:bCs/>
          <w:color w:val="000000"/>
        </w:rPr>
        <w:t>七</w:t>
      </w:r>
      <w:r>
        <w:rPr>
          <w:rFonts w:hint="eastAsia" w:ascii="宋体" w:hAnsi="宋体" w:cs="宋体"/>
          <w:b/>
          <w:bCs/>
          <w:color w:val="000000"/>
        </w:rPr>
        <w:t>单元（章）</w:t>
      </w:r>
      <w:r>
        <w:rPr>
          <w:rFonts w:hint="eastAsia" w:ascii="宋体" w:hAnsi="宋体"/>
          <w:b/>
          <w:bCs/>
          <w:color w:val="000000"/>
        </w:rPr>
        <w:t xml:space="preserve"> </w:t>
      </w:r>
      <w:r>
        <w:rPr>
          <w:rFonts w:ascii="宋体" w:hAnsi="宋体"/>
          <w:b/>
          <w:bCs/>
          <w:color w:val="000000"/>
        </w:rPr>
        <w:t>公共部门人力资源</w:t>
      </w:r>
      <w:r>
        <w:rPr>
          <w:rFonts w:hint="eastAsia" w:ascii="宋体" w:hAnsi="宋体"/>
          <w:b/>
          <w:bCs/>
          <w:color w:val="000000"/>
        </w:rPr>
        <w:t>的激励与开发</w:t>
      </w:r>
    </w:p>
    <w:p>
      <w:pPr>
        <w:ind w:firstLine="420" w:firstLineChars="200"/>
        <w:outlineLvl w:val="0"/>
        <w:rPr>
          <w:rFonts w:ascii="宋体" w:hAnsi="宋体"/>
          <w:color w:val="000000"/>
        </w:rPr>
      </w:pPr>
      <w:r>
        <w:rPr>
          <w:rFonts w:ascii="宋体" w:hAnsi="宋体"/>
          <w:color w:val="000000"/>
        </w:rPr>
        <w:t>教学要求</w:t>
      </w:r>
      <w:r>
        <w:rPr>
          <w:rFonts w:hint="eastAsia" w:ascii="宋体" w:hAnsi="宋体"/>
          <w:color w:val="000000"/>
        </w:rPr>
        <w:t xml:space="preserve"> </w:t>
      </w:r>
      <w:r>
        <w:rPr>
          <w:rFonts w:ascii="宋体" w:hAnsi="宋体"/>
          <w:color w:val="000000"/>
        </w:rPr>
        <w:t>了解公共部门人力资源培训与开发的内涵，种类；理解公共部门人力资源培训与人力资源管理职能的关系；掌握公共部门人力资源培训与开发的系统模型与培训方法。</w:t>
      </w:r>
      <w:r>
        <w:rPr>
          <w:rFonts w:hint="eastAsia" w:ascii="宋体" w:hAnsi="宋体"/>
          <w:color w:val="000000"/>
          <w:u w:val="single"/>
        </w:rPr>
        <w:t>强调“以人为本”价值导向的现实意义</w:t>
      </w:r>
      <w:r>
        <w:rPr>
          <w:rFonts w:hint="eastAsia" w:ascii="宋体" w:hAnsi="宋体"/>
          <w:color w:val="000000"/>
        </w:rPr>
        <w:t>，因人而异，多渠道、多途径开发人力资源。</w:t>
      </w:r>
    </w:p>
    <w:p>
      <w:pPr>
        <w:ind w:firstLine="420" w:firstLineChars="200"/>
        <w:outlineLvl w:val="0"/>
        <w:rPr>
          <w:rFonts w:hint="eastAsia" w:ascii="宋体" w:hAnsi="宋体"/>
          <w:color w:val="000000"/>
        </w:rPr>
      </w:pPr>
      <w:r>
        <w:rPr>
          <w:rFonts w:ascii="宋体" w:hAnsi="宋体"/>
          <w:color w:val="000000"/>
        </w:rPr>
        <w:t>教学重点</w:t>
      </w:r>
      <w:r>
        <w:rPr>
          <w:rFonts w:hint="eastAsia" w:ascii="宋体" w:hAnsi="宋体"/>
          <w:color w:val="000000"/>
        </w:rPr>
        <w:t xml:space="preserve"> </w:t>
      </w:r>
      <w:r>
        <w:rPr>
          <w:rFonts w:ascii="宋体" w:hAnsi="宋体"/>
          <w:color w:val="000000"/>
        </w:rPr>
        <w:t>公共部门人力资源培训与人力资源管理职能的关系</w:t>
      </w:r>
      <w:r>
        <w:rPr>
          <w:rFonts w:hint="eastAsia" w:ascii="宋体" w:hAnsi="宋体"/>
          <w:color w:val="000000"/>
        </w:rPr>
        <w:t>、</w:t>
      </w:r>
      <w:r>
        <w:rPr>
          <w:rFonts w:ascii="宋体" w:hAnsi="宋体"/>
          <w:color w:val="000000"/>
        </w:rPr>
        <w:t>公共部门人力资源培训与开发的系统模型与培训方法</w:t>
      </w:r>
    </w:p>
    <w:p>
      <w:pPr>
        <w:ind w:firstLine="420" w:firstLineChars="200"/>
        <w:outlineLvl w:val="0"/>
        <w:rPr>
          <w:rFonts w:ascii="宋体" w:hAnsi="宋体"/>
          <w:color w:val="000000"/>
        </w:rPr>
      </w:pPr>
      <w:r>
        <w:rPr>
          <w:rFonts w:ascii="宋体" w:hAnsi="宋体"/>
          <w:color w:val="000000"/>
        </w:rPr>
        <w:t>教学难点</w:t>
      </w:r>
      <w:r>
        <w:rPr>
          <w:rFonts w:hint="eastAsia" w:ascii="宋体" w:hAnsi="宋体"/>
          <w:color w:val="000000"/>
        </w:rPr>
        <w:t xml:space="preserve"> </w:t>
      </w:r>
      <w:r>
        <w:rPr>
          <w:rFonts w:ascii="宋体" w:hAnsi="宋体"/>
          <w:color w:val="000000"/>
        </w:rPr>
        <w:t>公共部门人力资源培训与开发的系统模型</w:t>
      </w:r>
    </w:p>
    <w:p>
      <w:pPr>
        <w:rPr>
          <w:rFonts w:ascii="宋体" w:hAnsi="宋体" w:cs="宋体"/>
          <w:b/>
          <w:color w:val="000000"/>
          <w:kern w:val="0"/>
          <w:szCs w:val="21"/>
        </w:rPr>
      </w:pPr>
      <w:r>
        <w:rPr>
          <w:rFonts w:ascii="宋体" w:hAnsi="宋体"/>
          <w:b/>
          <w:bCs/>
          <w:color w:val="000000"/>
        </w:rPr>
        <w:t>第</w:t>
      </w:r>
      <w:r>
        <w:rPr>
          <w:rFonts w:hint="eastAsia" w:ascii="宋体" w:hAnsi="宋体"/>
          <w:b/>
          <w:bCs/>
          <w:color w:val="000000"/>
        </w:rPr>
        <w:t>八</w:t>
      </w:r>
      <w:r>
        <w:rPr>
          <w:rFonts w:hint="eastAsia" w:ascii="宋体" w:hAnsi="宋体" w:cs="宋体"/>
          <w:b/>
          <w:bCs/>
          <w:color w:val="000000"/>
        </w:rPr>
        <w:t>单元（章）</w:t>
      </w:r>
      <w:r>
        <w:rPr>
          <w:rFonts w:hint="eastAsia" w:ascii="宋体" w:hAnsi="宋体"/>
          <w:b/>
          <w:bCs/>
          <w:color w:val="000000"/>
        </w:rPr>
        <w:t xml:space="preserve"> </w:t>
      </w:r>
      <w:r>
        <w:rPr>
          <w:rFonts w:ascii="宋体" w:hAnsi="宋体" w:cs="宋体"/>
          <w:b/>
          <w:color w:val="000000"/>
          <w:kern w:val="0"/>
          <w:szCs w:val="21"/>
        </w:rPr>
        <w:t>公共部门人力资源薪酬管理</w:t>
      </w:r>
      <w:r>
        <w:rPr>
          <w:rFonts w:hint="eastAsia" w:ascii="宋体" w:hAnsi="宋体" w:cs="宋体"/>
          <w:b/>
          <w:color w:val="000000"/>
          <w:kern w:val="0"/>
          <w:szCs w:val="21"/>
        </w:rPr>
        <w:t>与福利保险</w:t>
      </w:r>
    </w:p>
    <w:p>
      <w:pPr>
        <w:ind w:firstLine="420" w:firstLineChars="200"/>
        <w:outlineLvl w:val="0"/>
        <w:rPr>
          <w:rFonts w:hint="eastAsia" w:ascii="宋体" w:hAnsi="宋体"/>
          <w:color w:val="000000"/>
        </w:rPr>
      </w:pPr>
      <w:r>
        <w:rPr>
          <w:rFonts w:ascii="宋体" w:hAnsi="宋体"/>
          <w:color w:val="000000"/>
        </w:rPr>
        <w:t>教学要求</w:t>
      </w:r>
      <w:r>
        <w:rPr>
          <w:rFonts w:hint="eastAsia" w:ascii="宋体" w:hAnsi="宋体"/>
          <w:color w:val="000000"/>
        </w:rPr>
        <w:t xml:space="preserve"> </w:t>
      </w:r>
      <w:r>
        <w:rPr>
          <w:rFonts w:ascii="宋体" w:hAnsi="宋体"/>
          <w:color w:val="000000"/>
        </w:rPr>
        <w:t>了解公共部门人力资源薪酬管理的概念及其构成，以及公共部门员工福利的内涵与特点；理解公共部门人力资源薪酬功能，薪酬设计的基本原则，公务员职级工资制及现行公务员工资的构成与运行，员工福利制度设计的原则和员工福利的内容；掌握公务员工资制度及员工福利制度改进策略。</w:t>
      </w:r>
      <w:r>
        <w:rPr>
          <w:rFonts w:hint="eastAsia" w:ascii="宋体" w:hAnsi="宋体"/>
          <w:color w:val="000000"/>
          <w:u w:val="single"/>
        </w:rPr>
        <w:t>阐述我国社会保障事业发展7</w:t>
      </w:r>
      <w:r>
        <w:rPr>
          <w:rFonts w:ascii="宋体" w:hAnsi="宋体"/>
          <w:color w:val="000000"/>
          <w:u w:val="single"/>
        </w:rPr>
        <w:t>0</w:t>
      </w:r>
      <w:r>
        <w:rPr>
          <w:rFonts w:hint="eastAsia" w:ascii="宋体" w:hAnsi="宋体"/>
          <w:color w:val="000000"/>
          <w:u w:val="single"/>
        </w:rPr>
        <w:t>年，来帮助学生理解我国社会保障社会福利制度发展脉络，看到在发展中的成就与存在的问题，加深对于中国特色社会保障制度的认知</w:t>
      </w:r>
      <w:r>
        <w:rPr>
          <w:rFonts w:hint="eastAsia" w:ascii="宋体" w:hAnsi="宋体"/>
          <w:color w:val="000000"/>
        </w:rPr>
        <w:t>。</w:t>
      </w:r>
    </w:p>
    <w:p>
      <w:pPr>
        <w:ind w:firstLine="420" w:firstLineChars="200"/>
        <w:outlineLvl w:val="0"/>
        <w:rPr>
          <w:rFonts w:ascii="宋体" w:hAnsi="宋体"/>
          <w:color w:val="000000"/>
        </w:rPr>
      </w:pPr>
      <w:r>
        <w:rPr>
          <w:rFonts w:ascii="宋体" w:hAnsi="宋体"/>
          <w:color w:val="000000"/>
        </w:rPr>
        <w:t>教学重点</w:t>
      </w:r>
      <w:r>
        <w:rPr>
          <w:rFonts w:hint="eastAsia" w:ascii="宋体" w:hAnsi="宋体"/>
          <w:color w:val="000000"/>
        </w:rPr>
        <w:t xml:space="preserve"> </w:t>
      </w:r>
      <w:r>
        <w:rPr>
          <w:rFonts w:ascii="宋体" w:hAnsi="宋体"/>
          <w:color w:val="000000"/>
        </w:rPr>
        <w:t>公共部门员工福利</w:t>
      </w:r>
      <w:r>
        <w:rPr>
          <w:rFonts w:hint="eastAsia" w:ascii="宋体" w:hAnsi="宋体"/>
          <w:color w:val="000000"/>
        </w:rPr>
        <w:t>构成、</w:t>
      </w:r>
      <w:r>
        <w:rPr>
          <w:rFonts w:ascii="宋体" w:hAnsi="宋体"/>
          <w:color w:val="000000"/>
        </w:rPr>
        <w:t>公共部门员工福利设计的基本原则</w:t>
      </w:r>
      <w:r>
        <w:rPr>
          <w:rFonts w:hint="eastAsia" w:ascii="宋体" w:hAnsi="宋体"/>
          <w:color w:val="000000"/>
        </w:rPr>
        <w:t>与改进</w:t>
      </w:r>
    </w:p>
    <w:p>
      <w:pPr>
        <w:ind w:firstLine="420" w:firstLineChars="200"/>
        <w:outlineLvl w:val="0"/>
        <w:rPr>
          <w:rFonts w:ascii="宋体" w:hAnsi="宋体"/>
          <w:color w:val="000000"/>
        </w:rPr>
      </w:pPr>
      <w:r>
        <w:rPr>
          <w:rFonts w:ascii="宋体" w:hAnsi="宋体"/>
          <w:color w:val="000000"/>
        </w:rPr>
        <w:t>教学难点</w:t>
      </w:r>
      <w:r>
        <w:rPr>
          <w:rFonts w:hint="eastAsia" w:ascii="宋体" w:hAnsi="宋体"/>
          <w:color w:val="000000"/>
        </w:rPr>
        <w:t xml:space="preserve"> 如何发挥</w:t>
      </w:r>
      <w:r>
        <w:rPr>
          <w:rFonts w:ascii="宋体" w:hAnsi="宋体"/>
          <w:color w:val="000000"/>
        </w:rPr>
        <w:t>公共部门员工薪酬</w:t>
      </w:r>
      <w:r>
        <w:rPr>
          <w:rFonts w:hint="eastAsia" w:ascii="宋体" w:hAnsi="宋体"/>
          <w:color w:val="000000"/>
        </w:rPr>
        <w:t>的激励功能</w:t>
      </w:r>
    </w:p>
    <w:p>
      <w:pPr>
        <w:outlineLvl w:val="0"/>
        <w:rPr>
          <w:rFonts w:hint="eastAsia" w:ascii="宋体" w:hAnsi="宋体" w:cs="宋体"/>
          <w:b/>
          <w:color w:val="000000"/>
          <w:kern w:val="0"/>
          <w:szCs w:val="21"/>
        </w:rPr>
      </w:pPr>
      <w:r>
        <w:rPr>
          <w:rFonts w:hint="eastAsia" w:ascii="宋体" w:hAnsi="宋体" w:cs="宋体"/>
          <w:b/>
          <w:color w:val="000000"/>
          <w:kern w:val="0"/>
          <w:szCs w:val="21"/>
        </w:rPr>
        <w:t>第九</w:t>
      </w:r>
      <w:r>
        <w:rPr>
          <w:rFonts w:hint="eastAsia" w:ascii="宋体" w:hAnsi="宋体" w:cs="宋体"/>
          <w:b/>
          <w:bCs/>
          <w:color w:val="000000"/>
        </w:rPr>
        <w:t>单元（章）</w:t>
      </w:r>
      <w:r>
        <w:rPr>
          <w:rFonts w:hint="eastAsia" w:ascii="宋体" w:hAnsi="宋体" w:cs="宋体"/>
          <w:b/>
          <w:color w:val="000000"/>
          <w:kern w:val="0"/>
          <w:szCs w:val="21"/>
        </w:rPr>
        <w:t xml:space="preserve"> 公共部门人力资源管理的发展与展望</w:t>
      </w:r>
    </w:p>
    <w:p>
      <w:pPr>
        <w:ind w:firstLine="420" w:firstLineChars="200"/>
        <w:outlineLvl w:val="0"/>
        <w:rPr>
          <w:rFonts w:hint="eastAsia" w:ascii="宋体" w:hAnsi="宋体"/>
          <w:color w:val="000000"/>
          <w:u w:val="single"/>
        </w:rPr>
      </w:pPr>
      <w:r>
        <w:rPr>
          <w:rFonts w:ascii="宋体" w:hAnsi="宋体"/>
          <w:color w:val="000000"/>
        </w:rPr>
        <w:t>教学要求</w:t>
      </w:r>
      <w:r>
        <w:rPr>
          <w:rFonts w:hint="eastAsia" w:ascii="宋体" w:hAnsi="宋体"/>
          <w:color w:val="000000"/>
        </w:rPr>
        <w:t xml:space="preserve"> 理解学习型组织的精要及其对公共部门人力资源管理创新的意义，掌握全面质量管理的价值与精华，掌握六西格玛质量管理法的改进，了解公共部门人力资源管理中团队建设的意义，团建激励的主要措施，理解公共部门人力资源管理系统改进的方向。</w:t>
      </w:r>
      <w:r>
        <w:rPr>
          <w:rFonts w:hint="eastAsia" w:ascii="宋体" w:hAnsi="宋体"/>
          <w:color w:val="000000"/>
          <w:u w:val="single"/>
        </w:rPr>
        <w:t>结合党的十九大报告，研讨如何构建具有中国特色的公共部门人力资源管理制度，加强党委领导，充分发挥制度优势</w:t>
      </w:r>
      <w:r>
        <w:rPr>
          <w:rFonts w:hint="eastAsia" w:ascii="宋体" w:hAnsi="宋体"/>
          <w:color w:val="000000"/>
        </w:rPr>
        <w:t>。</w:t>
      </w:r>
    </w:p>
    <w:p>
      <w:pPr>
        <w:ind w:firstLine="420" w:firstLineChars="200"/>
        <w:outlineLvl w:val="0"/>
        <w:rPr>
          <w:rFonts w:hint="eastAsia" w:ascii="宋体" w:hAnsi="宋体"/>
          <w:color w:val="000000"/>
        </w:rPr>
      </w:pPr>
      <w:r>
        <w:rPr>
          <w:rFonts w:ascii="宋体" w:hAnsi="宋体"/>
          <w:color w:val="000000"/>
        </w:rPr>
        <w:t>教学重点</w:t>
      </w:r>
      <w:r>
        <w:rPr>
          <w:rFonts w:hint="eastAsia" w:ascii="宋体" w:hAnsi="宋体"/>
          <w:color w:val="000000"/>
        </w:rPr>
        <w:t xml:space="preserve"> 公共部门人力资源管理系统改进的方向</w:t>
      </w:r>
    </w:p>
    <w:p>
      <w:pPr>
        <w:ind w:firstLine="420" w:firstLineChars="200"/>
        <w:outlineLvl w:val="0"/>
        <w:rPr>
          <w:rFonts w:ascii="宋体" w:hAnsi="宋体"/>
          <w:color w:val="000000"/>
        </w:rPr>
      </w:pPr>
      <w:r>
        <w:rPr>
          <w:rFonts w:ascii="宋体" w:hAnsi="宋体"/>
          <w:color w:val="000000"/>
        </w:rPr>
        <w:t>教学难点</w:t>
      </w:r>
      <w:r>
        <w:rPr>
          <w:rFonts w:hint="eastAsia" w:ascii="宋体" w:hAnsi="宋体"/>
          <w:color w:val="000000"/>
        </w:rPr>
        <w:t xml:space="preserve"> 全面质量管理的价值与精华、六西格玛质量管理法的改进</w:t>
      </w:r>
    </w:p>
    <w:p>
      <w:pPr>
        <w:outlineLvl w:val="0"/>
        <w:rPr>
          <w:rFonts w:hint="eastAsia" w:eastAsia="黑体"/>
          <w:b/>
          <w:bCs/>
          <w:sz w:val="30"/>
          <w:szCs w:val="30"/>
        </w:rPr>
      </w:pPr>
      <w:r>
        <w:rPr>
          <w:rFonts w:eastAsia="黑体"/>
          <w:b/>
          <w:bCs/>
          <w:sz w:val="30"/>
          <w:szCs w:val="30"/>
        </w:rPr>
        <w:br w:type="page"/>
      </w:r>
      <w:r>
        <w:rPr>
          <w:rFonts w:hint="eastAsia" w:eastAsia="黑体"/>
          <w:b/>
          <w:bCs/>
          <w:sz w:val="30"/>
          <w:szCs w:val="30"/>
        </w:rPr>
        <w:t>三、建议教学安排</w:t>
      </w:r>
    </w:p>
    <w:tbl>
      <w:tblPr>
        <w:tblStyle w:val="8"/>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5559"/>
        <w:gridCol w:w="851"/>
        <w:gridCol w:w="708"/>
        <w:gridCol w:w="709"/>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07" w:type="dxa"/>
            <w:tcBorders>
              <w:top w:val="single" w:color="auto" w:sz="12" w:space="0"/>
              <w:left w:val="single" w:color="auto" w:sz="12" w:space="0"/>
              <w:right w:val="single" w:color="auto" w:sz="4" w:space="0"/>
            </w:tcBorders>
            <w:vAlign w:val="center"/>
          </w:tcPr>
          <w:p>
            <w:pPr>
              <w:jc w:val="center"/>
              <w:rPr>
                <w:rFonts w:hint="eastAsia" w:ascii="黑体" w:hAnsi="黑体" w:eastAsia="黑体"/>
                <w:w w:val="80"/>
                <w:szCs w:val="21"/>
              </w:rPr>
            </w:pPr>
            <w:r>
              <w:rPr>
                <w:rFonts w:hint="eastAsia" w:ascii="黑体" w:hAnsi="黑体" w:eastAsia="黑体"/>
                <w:w w:val="80"/>
                <w:szCs w:val="21"/>
              </w:rPr>
              <w:t>序号</w:t>
            </w:r>
          </w:p>
        </w:tc>
        <w:tc>
          <w:tcPr>
            <w:tcW w:w="5559" w:type="dxa"/>
            <w:tcBorders>
              <w:top w:val="single" w:color="auto" w:sz="12" w:space="0"/>
              <w:left w:val="single" w:color="auto" w:sz="4" w:space="0"/>
              <w:right w:val="single" w:color="auto" w:sz="8" w:space="0"/>
            </w:tcBorders>
            <w:vAlign w:val="center"/>
          </w:tcPr>
          <w:p>
            <w:pPr>
              <w:jc w:val="center"/>
              <w:rPr>
                <w:rFonts w:hint="eastAsia" w:ascii="黑体" w:hAnsi="黑体" w:eastAsia="黑体"/>
                <w:w w:val="80"/>
                <w:szCs w:val="21"/>
              </w:rPr>
            </w:pPr>
            <w:r>
              <w:rPr>
                <w:rFonts w:hint="eastAsia" w:ascii="黑体" w:hAnsi="黑体" w:eastAsia="黑体"/>
                <w:w w:val="80"/>
                <w:szCs w:val="21"/>
              </w:rPr>
              <w:t>主要教学内容（章）</w:t>
            </w:r>
          </w:p>
        </w:tc>
        <w:tc>
          <w:tcPr>
            <w:tcW w:w="851" w:type="dxa"/>
            <w:tcBorders>
              <w:top w:val="single" w:color="auto" w:sz="12" w:space="0"/>
              <w:left w:val="single" w:color="auto" w:sz="4" w:space="0"/>
              <w:right w:val="single" w:color="auto" w:sz="8" w:space="0"/>
            </w:tcBorders>
            <w:vAlign w:val="center"/>
          </w:tcPr>
          <w:p>
            <w:pPr>
              <w:jc w:val="center"/>
              <w:rPr>
                <w:rFonts w:hint="eastAsia" w:ascii="黑体" w:hAnsi="黑体" w:eastAsia="黑体"/>
                <w:w w:val="80"/>
                <w:szCs w:val="21"/>
              </w:rPr>
            </w:pPr>
            <w:r>
              <w:rPr>
                <w:rFonts w:hint="eastAsia" w:ascii="黑体" w:hAnsi="黑体" w:eastAsia="黑体"/>
                <w:w w:val="80"/>
                <w:szCs w:val="21"/>
              </w:rPr>
              <w:t>学时</w:t>
            </w:r>
          </w:p>
        </w:tc>
        <w:tc>
          <w:tcPr>
            <w:tcW w:w="708" w:type="dxa"/>
            <w:tcBorders>
              <w:top w:val="single" w:color="auto" w:sz="12" w:space="0"/>
              <w:left w:val="single" w:color="auto" w:sz="8" w:space="0"/>
              <w:right w:val="single" w:color="auto" w:sz="4" w:space="0"/>
            </w:tcBorders>
            <w:vAlign w:val="center"/>
          </w:tcPr>
          <w:p>
            <w:pPr>
              <w:jc w:val="center"/>
              <w:rPr>
                <w:rFonts w:hint="eastAsia" w:ascii="黑体" w:hAnsi="黑体" w:eastAsia="黑体"/>
                <w:w w:val="80"/>
                <w:szCs w:val="21"/>
              </w:rPr>
            </w:pPr>
            <w:r>
              <w:rPr>
                <w:rFonts w:hint="eastAsia" w:ascii="黑体" w:hAnsi="黑体" w:eastAsia="黑体"/>
                <w:w w:val="80"/>
                <w:szCs w:val="21"/>
              </w:rPr>
              <w:t>课程</w:t>
            </w:r>
          </w:p>
          <w:p>
            <w:pPr>
              <w:jc w:val="center"/>
              <w:rPr>
                <w:rFonts w:hint="eastAsia" w:ascii="黑体" w:hAnsi="黑体" w:eastAsia="黑体"/>
                <w:w w:val="80"/>
                <w:szCs w:val="21"/>
              </w:rPr>
            </w:pPr>
            <w:r>
              <w:rPr>
                <w:rFonts w:hint="eastAsia" w:ascii="黑体" w:hAnsi="黑体" w:eastAsia="黑体"/>
                <w:w w:val="80"/>
                <w:szCs w:val="21"/>
              </w:rPr>
              <w:t>目标</w:t>
            </w:r>
          </w:p>
        </w:tc>
        <w:tc>
          <w:tcPr>
            <w:tcW w:w="709" w:type="dxa"/>
            <w:tcBorders>
              <w:top w:val="single" w:color="auto" w:sz="12" w:space="0"/>
              <w:left w:val="single" w:color="auto" w:sz="8" w:space="0"/>
              <w:right w:val="single" w:color="auto" w:sz="4" w:space="0"/>
            </w:tcBorders>
            <w:vAlign w:val="center"/>
          </w:tcPr>
          <w:p>
            <w:pPr>
              <w:jc w:val="center"/>
              <w:rPr>
                <w:rFonts w:ascii="黑体" w:hAnsi="黑体" w:eastAsia="黑体"/>
                <w:w w:val="80"/>
                <w:szCs w:val="21"/>
              </w:rPr>
            </w:pPr>
            <w:r>
              <w:rPr>
                <w:rFonts w:hint="eastAsia" w:ascii="黑体" w:hAnsi="黑体" w:eastAsia="黑体"/>
                <w:w w:val="80"/>
                <w:szCs w:val="21"/>
              </w:rPr>
              <w:t>教学方式</w:t>
            </w:r>
          </w:p>
        </w:tc>
        <w:tc>
          <w:tcPr>
            <w:tcW w:w="679" w:type="dxa"/>
            <w:tcBorders>
              <w:top w:val="single" w:color="auto" w:sz="12" w:space="0"/>
              <w:left w:val="single" w:color="auto" w:sz="8" w:space="0"/>
              <w:right w:val="single" w:color="auto" w:sz="12" w:space="0"/>
            </w:tcBorders>
            <w:vAlign w:val="center"/>
          </w:tcPr>
          <w:p>
            <w:pPr>
              <w:jc w:val="center"/>
              <w:rPr>
                <w:rFonts w:ascii="黑体" w:hAnsi="黑体" w:eastAsia="黑体"/>
                <w:w w:val="80"/>
                <w:szCs w:val="21"/>
              </w:rPr>
            </w:pPr>
            <w:r>
              <w:rPr>
                <w:rFonts w:hint="eastAsia" w:ascii="黑体" w:hAnsi="黑体" w:eastAsia="黑体"/>
                <w:w w:val="80"/>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7"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hint="eastAsia" w:ascii="宋体" w:hAnsi="宋体"/>
                <w:color w:val="000000"/>
                <w:szCs w:val="21"/>
              </w:rPr>
              <w:t>1</w:t>
            </w:r>
          </w:p>
        </w:tc>
        <w:tc>
          <w:tcPr>
            <w:tcW w:w="5559"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color w:val="000000"/>
                <w:szCs w:val="21"/>
              </w:rPr>
            </w:pPr>
            <w:r>
              <w:rPr>
                <w:rFonts w:hint="eastAsia" w:ascii="宋体" w:hAnsi="宋体"/>
                <w:color w:val="000000"/>
                <w:szCs w:val="21"/>
              </w:rPr>
              <w:t>第一章 导 论</w:t>
            </w:r>
          </w:p>
        </w:tc>
        <w:tc>
          <w:tcPr>
            <w:tcW w:w="851"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color w:val="000000"/>
                <w:szCs w:val="21"/>
              </w:rPr>
            </w:pPr>
            <w:r>
              <w:rPr>
                <w:rFonts w:ascii="宋体" w:hAnsi="宋体"/>
                <w:color w:val="000000"/>
                <w:szCs w:val="21"/>
              </w:rPr>
              <w:t>4</w:t>
            </w:r>
          </w:p>
        </w:tc>
        <w:tc>
          <w:tcPr>
            <w:tcW w:w="708"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ascii="宋体" w:hAnsi="宋体"/>
                <w:color w:val="000000"/>
                <w:szCs w:val="21"/>
              </w:rPr>
              <w:t>CO1</w:t>
            </w:r>
          </w:p>
        </w:tc>
        <w:tc>
          <w:tcPr>
            <w:tcW w:w="709"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ascii="宋体" w:hAnsi="宋体"/>
                <w:color w:val="000000"/>
                <w:szCs w:val="21"/>
              </w:rPr>
              <w:t>PM1</w:t>
            </w:r>
          </w:p>
        </w:tc>
        <w:tc>
          <w:tcPr>
            <w:tcW w:w="679" w:type="dxa"/>
            <w:tcBorders>
              <w:top w:val="single" w:color="auto" w:sz="4" w:space="0"/>
              <w:left w:val="single" w:color="auto" w:sz="8" w:space="0"/>
              <w:bottom w:val="single" w:color="auto" w:sz="4" w:space="0"/>
              <w:right w:val="single" w:color="auto" w:sz="12" w:space="0"/>
            </w:tcBorders>
            <w:vAlign w:val="center"/>
          </w:tcPr>
          <w:p>
            <w:pPr>
              <w:spacing w:line="320" w:lineRule="exact"/>
              <w:jc w:val="center"/>
              <w:rPr>
                <w:rFonts w:ascii="宋体" w:hAnsi="宋体"/>
                <w:color w:val="000000"/>
                <w:szCs w:val="21"/>
              </w:rPr>
            </w:pPr>
            <w:r>
              <w:rPr>
                <w:rFonts w:hint="eastAsia" w:ascii="宋体" w:hAnsi="宋体"/>
                <w:color w:val="000000"/>
                <w:szCs w:val="21"/>
              </w:rPr>
              <w:t>EM2</w:t>
            </w:r>
          </w:p>
          <w:p>
            <w:pPr>
              <w:spacing w:line="320" w:lineRule="exact"/>
              <w:jc w:val="center"/>
              <w:rPr>
                <w:rFonts w:ascii="宋体" w:hAnsi="宋体"/>
                <w:color w:val="000000"/>
                <w:szCs w:val="21"/>
              </w:rPr>
            </w:pPr>
            <w:r>
              <w:rPr>
                <w:rFonts w:ascii="宋体" w:hAnsi="宋体"/>
                <w:color w:val="000000"/>
                <w:szCs w:val="21"/>
              </w:rPr>
              <w:t>EM3</w:t>
            </w:r>
          </w:p>
          <w:p>
            <w:pPr>
              <w:spacing w:line="320" w:lineRule="exact"/>
              <w:jc w:val="center"/>
              <w:rPr>
                <w:rFonts w:ascii="宋体" w:hAnsi="宋体"/>
                <w:color w:val="000000"/>
                <w:szCs w:val="21"/>
              </w:rPr>
            </w:pPr>
            <w:r>
              <w:rPr>
                <w:rFonts w:hint="eastAsia" w:ascii="宋体" w:hAnsi="宋体"/>
                <w:color w:val="000000"/>
                <w:szCs w:val="21"/>
              </w:rPr>
              <w:t>EM</w:t>
            </w:r>
            <w:r>
              <w:rPr>
                <w:rFonts w:ascii="宋体" w:hAnsi="宋体"/>
                <w:color w:val="000000"/>
                <w:szCs w:val="21"/>
              </w:rPr>
              <w:t>4</w:t>
            </w:r>
          </w:p>
          <w:p>
            <w:pPr>
              <w:spacing w:line="320" w:lineRule="exact"/>
              <w:jc w:val="center"/>
              <w:rPr>
                <w:rFonts w:ascii="宋体" w:hAnsi="宋体"/>
                <w:color w:val="000000"/>
                <w:szCs w:val="21"/>
              </w:rPr>
            </w:pPr>
            <w:r>
              <w:rPr>
                <w:rFonts w:hint="eastAsia" w:ascii="宋体" w:hAnsi="宋体"/>
                <w:color w:val="000000"/>
                <w:szCs w:val="21"/>
              </w:rPr>
              <w:t>EM</w:t>
            </w:r>
            <w:r>
              <w:rPr>
                <w:rFonts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7"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hint="eastAsia" w:ascii="宋体" w:hAnsi="宋体"/>
                <w:color w:val="000000"/>
                <w:szCs w:val="21"/>
              </w:rPr>
            </w:pPr>
            <w:r>
              <w:rPr>
                <w:rFonts w:hint="eastAsia" w:ascii="宋体" w:hAnsi="宋体"/>
                <w:color w:val="000000"/>
                <w:szCs w:val="21"/>
              </w:rPr>
              <w:t>2</w:t>
            </w:r>
          </w:p>
        </w:tc>
        <w:tc>
          <w:tcPr>
            <w:tcW w:w="5559"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eastAsia" w:ascii="宋体" w:hAnsi="宋体"/>
                <w:color w:val="000000"/>
                <w:szCs w:val="21"/>
              </w:rPr>
            </w:pPr>
            <w:r>
              <w:rPr>
                <w:rFonts w:hint="eastAsia" w:ascii="宋体" w:hAnsi="宋体"/>
                <w:color w:val="000000"/>
                <w:szCs w:val="21"/>
              </w:rPr>
              <w:t>第二章 公共部门人事行政的基本制度安排</w:t>
            </w:r>
          </w:p>
        </w:tc>
        <w:tc>
          <w:tcPr>
            <w:tcW w:w="851"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eastAsia" w:ascii="宋体" w:hAnsi="宋体"/>
                <w:color w:val="000000"/>
                <w:szCs w:val="21"/>
              </w:rPr>
            </w:pPr>
            <w:r>
              <w:rPr>
                <w:rFonts w:ascii="宋体" w:hAnsi="宋体"/>
                <w:color w:val="000000"/>
                <w:szCs w:val="21"/>
              </w:rPr>
              <w:t>4</w:t>
            </w:r>
          </w:p>
        </w:tc>
        <w:tc>
          <w:tcPr>
            <w:tcW w:w="708"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ascii="宋体" w:hAnsi="宋体"/>
                <w:color w:val="000000"/>
                <w:szCs w:val="21"/>
              </w:rPr>
              <w:t>CO1</w:t>
            </w:r>
          </w:p>
          <w:p>
            <w:pPr>
              <w:spacing w:line="320" w:lineRule="exact"/>
              <w:jc w:val="center"/>
              <w:rPr>
                <w:rFonts w:ascii="宋体" w:hAnsi="宋体"/>
                <w:color w:val="000000"/>
                <w:szCs w:val="21"/>
              </w:rPr>
            </w:pPr>
            <w:r>
              <w:rPr>
                <w:rFonts w:ascii="宋体" w:hAnsi="宋体"/>
                <w:color w:val="000000"/>
                <w:szCs w:val="21"/>
              </w:rPr>
              <w:t>CO</w:t>
            </w:r>
            <w:r>
              <w:rPr>
                <w:rFonts w:hint="eastAsia" w:ascii="宋体" w:hAnsi="宋体"/>
                <w:color w:val="000000"/>
                <w:szCs w:val="21"/>
              </w:rPr>
              <w:t>2</w:t>
            </w:r>
          </w:p>
        </w:tc>
        <w:tc>
          <w:tcPr>
            <w:tcW w:w="709"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ascii="宋体" w:hAnsi="宋体"/>
                <w:color w:val="000000"/>
                <w:szCs w:val="21"/>
              </w:rPr>
              <w:t>PM</w:t>
            </w:r>
            <w:r>
              <w:rPr>
                <w:rFonts w:hint="eastAsia" w:ascii="宋体" w:hAnsi="宋体"/>
                <w:color w:val="000000"/>
                <w:szCs w:val="21"/>
              </w:rPr>
              <w:t>1</w:t>
            </w:r>
          </w:p>
          <w:p>
            <w:pPr>
              <w:spacing w:line="320" w:lineRule="exact"/>
              <w:jc w:val="center"/>
              <w:rPr>
                <w:rFonts w:ascii="宋体" w:hAnsi="宋体"/>
                <w:color w:val="000000"/>
                <w:szCs w:val="21"/>
              </w:rPr>
            </w:pPr>
            <w:r>
              <w:rPr>
                <w:rFonts w:ascii="宋体" w:hAnsi="宋体"/>
                <w:color w:val="000000"/>
                <w:szCs w:val="21"/>
              </w:rPr>
              <w:t>PM2</w:t>
            </w:r>
          </w:p>
        </w:tc>
        <w:tc>
          <w:tcPr>
            <w:tcW w:w="679" w:type="dxa"/>
            <w:tcBorders>
              <w:top w:val="single" w:color="auto" w:sz="4" w:space="0"/>
              <w:left w:val="single" w:color="auto" w:sz="8" w:space="0"/>
              <w:bottom w:val="single" w:color="auto" w:sz="4" w:space="0"/>
              <w:right w:val="single" w:color="auto" w:sz="12" w:space="0"/>
            </w:tcBorders>
            <w:vAlign w:val="center"/>
          </w:tcPr>
          <w:p>
            <w:pPr>
              <w:spacing w:line="320" w:lineRule="exact"/>
              <w:jc w:val="center"/>
              <w:rPr>
                <w:rFonts w:ascii="宋体" w:hAnsi="宋体"/>
                <w:color w:val="000000"/>
                <w:szCs w:val="21"/>
              </w:rPr>
            </w:pPr>
            <w:r>
              <w:rPr>
                <w:rFonts w:ascii="宋体" w:hAnsi="宋体"/>
                <w:color w:val="000000"/>
                <w:szCs w:val="21"/>
              </w:rPr>
              <w:t>EM1</w:t>
            </w:r>
          </w:p>
          <w:p>
            <w:pPr>
              <w:spacing w:line="320" w:lineRule="exact"/>
              <w:jc w:val="center"/>
              <w:rPr>
                <w:rFonts w:ascii="宋体" w:hAnsi="宋体"/>
                <w:color w:val="000000"/>
                <w:szCs w:val="21"/>
              </w:rPr>
            </w:pPr>
            <w:r>
              <w:rPr>
                <w:rFonts w:hint="eastAsia" w:ascii="宋体" w:hAnsi="宋体"/>
                <w:color w:val="000000"/>
                <w:szCs w:val="21"/>
              </w:rPr>
              <w:t>EM2</w:t>
            </w:r>
          </w:p>
          <w:p>
            <w:pPr>
              <w:spacing w:line="320" w:lineRule="exact"/>
              <w:jc w:val="center"/>
              <w:rPr>
                <w:rFonts w:ascii="宋体" w:hAnsi="宋体"/>
                <w:color w:val="000000"/>
                <w:szCs w:val="21"/>
              </w:rPr>
            </w:pPr>
            <w:r>
              <w:rPr>
                <w:rFonts w:hint="eastAsia" w:ascii="宋体" w:hAnsi="宋体"/>
                <w:color w:val="000000"/>
                <w:szCs w:val="21"/>
              </w:rPr>
              <w:t>EM</w:t>
            </w:r>
            <w:r>
              <w:rPr>
                <w:rFonts w:ascii="宋体" w:hAnsi="宋体"/>
                <w:color w:val="000000"/>
                <w:szCs w:val="21"/>
              </w:rPr>
              <w:t>4</w:t>
            </w:r>
          </w:p>
          <w:p>
            <w:pPr>
              <w:spacing w:line="320" w:lineRule="exact"/>
              <w:jc w:val="center"/>
              <w:rPr>
                <w:rFonts w:hint="eastAsia" w:ascii="宋体" w:hAnsi="宋体"/>
                <w:color w:val="000000"/>
                <w:szCs w:val="21"/>
              </w:rPr>
            </w:pPr>
            <w:r>
              <w:rPr>
                <w:rFonts w:hint="eastAsia" w:ascii="宋体" w:hAnsi="宋体"/>
                <w:color w:val="000000"/>
                <w:szCs w:val="21"/>
              </w:rPr>
              <w:t>EM</w:t>
            </w:r>
            <w:r>
              <w:rPr>
                <w:rFonts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07"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hint="eastAsia" w:ascii="宋体" w:hAnsi="宋体"/>
                <w:color w:val="000000"/>
                <w:szCs w:val="21"/>
              </w:rPr>
            </w:pPr>
            <w:r>
              <w:rPr>
                <w:rFonts w:hint="eastAsia" w:ascii="宋体" w:hAnsi="宋体"/>
                <w:color w:val="000000"/>
                <w:szCs w:val="21"/>
              </w:rPr>
              <w:t>3</w:t>
            </w:r>
          </w:p>
        </w:tc>
        <w:tc>
          <w:tcPr>
            <w:tcW w:w="5559"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eastAsia" w:ascii="宋体" w:hAnsi="宋体"/>
                <w:color w:val="000000"/>
                <w:szCs w:val="21"/>
              </w:rPr>
            </w:pPr>
            <w:r>
              <w:rPr>
                <w:rFonts w:hint="eastAsia" w:ascii="宋体" w:hAnsi="宋体"/>
                <w:color w:val="000000"/>
                <w:szCs w:val="21"/>
              </w:rPr>
              <w:t>第三章 变革中的公共部门人事行政管理：迈向人力资源管理模式</w:t>
            </w:r>
          </w:p>
        </w:tc>
        <w:tc>
          <w:tcPr>
            <w:tcW w:w="851"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eastAsia" w:ascii="宋体" w:hAnsi="宋体"/>
                <w:color w:val="000000"/>
                <w:szCs w:val="21"/>
              </w:rPr>
            </w:pPr>
            <w:r>
              <w:rPr>
                <w:rFonts w:ascii="宋体" w:hAnsi="宋体"/>
                <w:color w:val="000000"/>
                <w:szCs w:val="21"/>
              </w:rPr>
              <w:t>4</w:t>
            </w:r>
          </w:p>
        </w:tc>
        <w:tc>
          <w:tcPr>
            <w:tcW w:w="708"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ascii="宋体" w:hAnsi="宋体"/>
                <w:color w:val="000000"/>
                <w:szCs w:val="21"/>
              </w:rPr>
              <w:t>CO1</w:t>
            </w:r>
          </w:p>
          <w:p>
            <w:pPr>
              <w:spacing w:line="320" w:lineRule="exact"/>
              <w:jc w:val="center"/>
              <w:rPr>
                <w:rFonts w:ascii="宋体" w:hAnsi="宋体"/>
                <w:color w:val="000000"/>
                <w:szCs w:val="21"/>
              </w:rPr>
            </w:pPr>
            <w:r>
              <w:rPr>
                <w:rFonts w:ascii="宋体" w:hAnsi="宋体"/>
                <w:color w:val="000000"/>
                <w:szCs w:val="21"/>
              </w:rPr>
              <w:t>CO</w:t>
            </w:r>
            <w:r>
              <w:rPr>
                <w:rFonts w:hint="eastAsia" w:ascii="宋体" w:hAnsi="宋体"/>
                <w:color w:val="000000"/>
                <w:szCs w:val="21"/>
              </w:rPr>
              <w:t>2</w:t>
            </w:r>
          </w:p>
        </w:tc>
        <w:tc>
          <w:tcPr>
            <w:tcW w:w="709"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ascii="宋体" w:hAnsi="宋体"/>
                <w:color w:val="000000"/>
                <w:szCs w:val="21"/>
              </w:rPr>
              <w:t>PM1</w:t>
            </w:r>
          </w:p>
        </w:tc>
        <w:tc>
          <w:tcPr>
            <w:tcW w:w="679" w:type="dxa"/>
            <w:tcBorders>
              <w:top w:val="single" w:color="auto" w:sz="4" w:space="0"/>
              <w:left w:val="single" w:color="auto" w:sz="8" w:space="0"/>
              <w:bottom w:val="single" w:color="auto" w:sz="4" w:space="0"/>
              <w:right w:val="single" w:color="auto" w:sz="12" w:space="0"/>
            </w:tcBorders>
            <w:vAlign w:val="center"/>
          </w:tcPr>
          <w:p>
            <w:pPr>
              <w:spacing w:line="320" w:lineRule="exact"/>
              <w:jc w:val="center"/>
              <w:rPr>
                <w:rFonts w:ascii="宋体" w:hAnsi="宋体"/>
                <w:color w:val="000000"/>
                <w:szCs w:val="21"/>
              </w:rPr>
            </w:pPr>
            <w:r>
              <w:rPr>
                <w:rFonts w:hint="eastAsia" w:ascii="宋体" w:hAnsi="宋体"/>
                <w:color w:val="000000"/>
                <w:szCs w:val="21"/>
              </w:rPr>
              <w:t>EM2</w:t>
            </w:r>
          </w:p>
          <w:p>
            <w:pPr>
              <w:spacing w:line="320" w:lineRule="exact"/>
              <w:jc w:val="center"/>
              <w:rPr>
                <w:rFonts w:ascii="宋体" w:hAnsi="宋体"/>
                <w:color w:val="000000"/>
                <w:szCs w:val="21"/>
              </w:rPr>
            </w:pPr>
            <w:r>
              <w:rPr>
                <w:rFonts w:ascii="宋体" w:hAnsi="宋体"/>
                <w:color w:val="000000"/>
                <w:szCs w:val="21"/>
              </w:rPr>
              <w:t>EM3</w:t>
            </w:r>
          </w:p>
          <w:p>
            <w:pPr>
              <w:spacing w:line="320" w:lineRule="exact"/>
              <w:jc w:val="center"/>
              <w:rPr>
                <w:rFonts w:ascii="宋体" w:hAnsi="宋体"/>
                <w:color w:val="000000"/>
                <w:szCs w:val="21"/>
              </w:rPr>
            </w:pPr>
            <w:r>
              <w:rPr>
                <w:rFonts w:hint="eastAsia" w:ascii="宋体" w:hAnsi="宋体"/>
                <w:color w:val="000000"/>
                <w:szCs w:val="21"/>
              </w:rPr>
              <w:t>EM</w:t>
            </w:r>
            <w:r>
              <w:rPr>
                <w:rFonts w:ascii="宋体" w:hAnsi="宋体"/>
                <w:color w:val="000000"/>
                <w:szCs w:val="21"/>
              </w:rPr>
              <w:t>4</w:t>
            </w:r>
          </w:p>
          <w:p>
            <w:pPr>
              <w:spacing w:line="320" w:lineRule="exact"/>
              <w:jc w:val="center"/>
              <w:rPr>
                <w:rFonts w:hint="eastAsia" w:ascii="宋体" w:hAnsi="宋体"/>
                <w:color w:val="000000"/>
                <w:szCs w:val="21"/>
              </w:rPr>
            </w:pPr>
            <w:r>
              <w:rPr>
                <w:rFonts w:hint="eastAsia" w:ascii="宋体" w:hAnsi="宋体"/>
                <w:color w:val="000000"/>
                <w:szCs w:val="21"/>
              </w:rPr>
              <w:t>EM</w:t>
            </w:r>
            <w:r>
              <w:rPr>
                <w:rFonts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7"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hint="eastAsia" w:ascii="宋体" w:hAnsi="宋体"/>
                <w:color w:val="000000"/>
                <w:szCs w:val="21"/>
              </w:rPr>
            </w:pPr>
            <w:r>
              <w:rPr>
                <w:rFonts w:hint="eastAsia" w:ascii="宋体" w:hAnsi="宋体"/>
                <w:color w:val="000000"/>
                <w:szCs w:val="21"/>
              </w:rPr>
              <w:t>4</w:t>
            </w:r>
          </w:p>
        </w:tc>
        <w:tc>
          <w:tcPr>
            <w:tcW w:w="5559"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color w:val="000000"/>
                <w:szCs w:val="21"/>
              </w:rPr>
            </w:pPr>
            <w:r>
              <w:rPr>
                <w:rFonts w:hint="eastAsia" w:ascii="宋体" w:hAnsi="宋体"/>
                <w:color w:val="000000"/>
                <w:szCs w:val="21"/>
              </w:rPr>
              <w:t>第四章 公共部门人力资源战略管理</w:t>
            </w:r>
          </w:p>
        </w:tc>
        <w:tc>
          <w:tcPr>
            <w:tcW w:w="851"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color w:val="000000"/>
                <w:szCs w:val="21"/>
              </w:rPr>
            </w:pPr>
            <w:r>
              <w:rPr>
                <w:rFonts w:hint="eastAsia" w:ascii="宋体" w:hAnsi="宋体"/>
                <w:color w:val="000000"/>
                <w:szCs w:val="21"/>
              </w:rPr>
              <w:t>2</w:t>
            </w:r>
          </w:p>
        </w:tc>
        <w:tc>
          <w:tcPr>
            <w:tcW w:w="708"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ascii="宋体" w:hAnsi="宋体"/>
                <w:color w:val="000000"/>
                <w:szCs w:val="21"/>
              </w:rPr>
              <w:t>CO1</w:t>
            </w:r>
          </w:p>
          <w:p>
            <w:pPr>
              <w:spacing w:line="320" w:lineRule="exact"/>
              <w:jc w:val="center"/>
              <w:rPr>
                <w:rFonts w:ascii="宋体" w:hAnsi="宋体"/>
                <w:color w:val="000000"/>
                <w:szCs w:val="21"/>
              </w:rPr>
            </w:pPr>
            <w:r>
              <w:rPr>
                <w:rFonts w:ascii="宋体" w:hAnsi="宋体"/>
                <w:color w:val="000000"/>
                <w:szCs w:val="21"/>
              </w:rPr>
              <w:t>CO</w:t>
            </w:r>
            <w:r>
              <w:rPr>
                <w:rFonts w:hint="eastAsia" w:ascii="宋体" w:hAnsi="宋体"/>
                <w:color w:val="000000"/>
                <w:szCs w:val="21"/>
              </w:rPr>
              <w:t>2</w:t>
            </w:r>
          </w:p>
        </w:tc>
        <w:tc>
          <w:tcPr>
            <w:tcW w:w="709"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ascii="宋体" w:hAnsi="宋体"/>
                <w:color w:val="000000"/>
                <w:szCs w:val="21"/>
              </w:rPr>
              <w:t>PM</w:t>
            </w:r>
            <w:r>
              <w:rPr>
                <w:rFonts w:hint="eastAsia" w:ascii="宋体" w:hAnsi="宋体"/>
                <w:color w:val="000000"/>
                <w:szCs w:val="21"/>
              </w:rPr>
              <w:t>1</w:t>
            </w:r>
          </w:p>
          <w:p>
            <w:pPr>
              <w:spacing w:line="320" w:lineRule="exact"/>
              <w:jc w:val="center"/>
              <w:rPr>
                <w:rFonts w:ascii="宋体" w:hAnsi="宋体"/>
                <w:color w:val="000000"/>
                <w:szCs w:val="21"/>
              </w:rPr>
            </w:pPr>
            <w:r>
              <w:rPr>
                <w:rFonts w:ascii="宋体" w:hAnsi="宋体"/>
                <w:color w:val="000000"/>
                <w:szCs w:val="21"/>
              </w:rPr>
              <w:t>PM</w:t>
            </w:r>
            <w:r>
              <w:rPr>
                <w:rFonts w:hint="eastAsia" w:ascii="宋体" w:hAnsi="宋体"/>
                <w:color w:val="000000"/>
                <w:szCs w:val="21"/>
              </w:rPr>
              <w:t>2</w:t>
            </w:r>
          </w:p>
        </w:tc>
        <w:tc>
          <w:tcPr>
            <w:tcW w:w="679" w:type="dxa"/>
            <w:tcBorders>
              <w:top w:val="single" w:color="auto" w:sz="4" w:space="0"/>
              <w:left w:val="single" w:color="auto" w:sz="8" w:space="0"/>
              <w:bottom w:val="single" w:color="auto" w:sz="4" w:space="0"/>
              <w:right w:val="single" w:color="auto" w:sz="12" w:space="0"/>
            </w:tcBorders>
            <w:vAlign w:val="center"/>
          </w:tcPr>
          <w:p>
            <w:pPr>
              <w:spacing w:line="320" w:lineRule="exact"/>
              <w:jc w:val="center"/>
              <w:rPr>
                <w:rFonts w:ascii="宋体" w:hAnsi="宋体"/>
                <w:color w:val="000000"/>
                <w:szCs w:val="21"/>
              </w:rPr>
            </w:pPr>
            <w:r>
              <w:rPr>
                <w:rFonts w:hint="eastAsia" w:ascii="宋体" w:hAnsi="宋体"/>
                <w:color w:val="000000"/>
                <w:szCs w:val="21"/>
              </w:rPr>
              <w:t>EM2</w:t>
            </w:r>
          </w:p>
          <w:p>
            <w:pPr>
              <w:spacing w:line="320" w:lineRule="exact"/>
              <w:jc w:val="center"/>
              <w:rPr>
                <w:rFonts w:ascii="宋体" w:hAnsi="宋体"/>
                <w:color w:val="000000"/>
                <w:szCs w:val="21"/>
              </w:rPr>
            </w:pPr>
            <w:r>
              <w:rPr>
                <w:rFonts w:ascii="宋体" w:hAnsi="宋体"/>
                <w:color w:val="000000"/>
                <w:szCs w:val="21"/>
              </w:rPr>
              <w:t>EM3</w:t>
            </w:r>
          </w:p>
          <w:p>
            <w:pPr>
              <w:spacing w:line="320" w:lineRule="exact"/>
              <w:jc w:val="center"/>
              <w:rPr>
                <w:rFonts w:ascii="宋体" w:hAnsi="宋体"/>
                <w:color w:val="000000"/>
                <w:szCs w:val="21"/>
              </w:rPr>
            </w:pPr>
            <w:r>
              <w:rPr>
                <w:rFonts w:hint="eastAsia" w:ascii="宋体" w:hAnsi="宋体"/>
                <w:color w:val="000000"/>
                <w:szCs w:val="21"/>
              </w:rPr>
              <w:t>EM</w:t>
            </w:r>
            <w:r>
              <w:rPr>
                <w:rFonts w:ascii="宋体" w:hAnsi="宋体"/>
                <w:color w:val="000000"/>
                <w:szCs w:val="21"/>
              </w:rPr>
              <w:t>4</w:t>
            </w:r>
          </w:p>
          <w:p>
            <w:pPr>
              <w:spacing w:line="320" w:lineRule="exact"/>
              <w:jc w:val="center"/>
              <w:rPr>
                <w:rFonts w:ascii="宋体" w:hAnsi="宋体"/>
                <w:color w:val="000000"/>
                <w:szCs w:val="21"/>
              </w:rPr>
            </w:pPr>
            <w:r>
              <w:rPr>
                <w:rFonts w:hint="eastAsia" w:ascii="宋体" w:hAnsi="宋体"/>
                <w:color w:val="000000"/>
                <w:szCs w:val="21"/>
              </w:rPr>
              <w:t>EM</w:t>
            </w:r>
            <w:r>
              <w:rPr>
                <w:rFonts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7"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hint="eastAsia" w:ascii="宋体" w:hAnsi="宋体"/>
                <w:color w:val="000000"/>
                <w:szCs w:val="21"/>
              </w:rPr>
              <w:t>5</w:t>
            </w:r>
          </w:p>
        </w:tc>
        <w:tc>
          <w:tcPr>
            <w:tcW w:w="5559"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color w:val="000000"/>
                <w:szCs w:val="21"/>
              </w:rPr>
            </w:pPr>
            <w:r>
              <w:rPr>
                <w:rFonts w:hint="eastAsia" w:ascii="宋体" w:hAnsi="宋体"/>
                <w:color w:val="000000"/>
                <w:szCs w:val="21"/>
              </w:rPr>
              <w:t>随堂期中考试及试卷分析</w:t>
            </w:r>
          </w:p>
        </w:tc>
        <w:tc>
          <w:tcPr>
            <w:tcW w:w="851"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color w:val="000000"/>
                <w:szCs w:val="21"/>
              </w:rPr>
            </w:pPr>
            <w:r>
              <w:rPr>
                <w:rFonts w:ascii="宋体" w:hAnsi="宋体"/>
                <w:color w:val="000000"/>
                <w:szCs w:val="21"/>
              </w:rPr>
              <w:t>2</w:t>
            </w:r>
          </w:p>
        </w:tc>
        <w:tc>
          <w:tcPr>
            <w:tcW w:w="708"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ascii="宋体" w:hAnsi="宋体"/>
                <w:color w:val="000000"/>
                <w:szCs w:val="21"/>
              </w:rPr>
              <w:t>CO1</w:t>
            </w:r>
          </w:p>
          <w:p>
            <w:pPr>
              <w:spacing w:line="320" w:lineRule="exact"/>
              <w:jc w:val="center"/>
              <w:rPr>
                <w:rFonts w:hint="eastAsia" w:ascii="宋体" w:hAnsi="宋体"/>
                <w:color w:val="000000"/>
                <w:szCs w:val="21"/>
              </w:rPr>
            </w:pPr>
            <w:r>
              <w:rPr>
                <w:rFonts w:ascii="宋体" w:hAnsi="宋体"/>
                <w:color w:val="000000"/>
                <w:szCs w:val="21"/>
              </w:rPr>
              <w:t>CO</w:t>
            </w:r>
            <w:r>
              <w:rPr>
                <w:rFonts w:hint="eastAsia" w:ascii="宋体" w:hAnsi="宋体"/>
                <w:color w:val="000000"/>
                <w:szCs w:val="21"/>
              </w:rPr>
              <w:t>2</w:t>
            </w:r>
          </w:p>
        </w:tc>
        <w:tc>
          <w:tcPr>
            <w:tcW w:w="709"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hint="eastAsia" w:ascii="宋体" w:hAnsi="宋体"/>
                <w:color w:val="000000"/>
                <w:szCs w:val="21"/>
              </w:rPr>
              <w:t>PM2</w:t>
            </w:r>
          </w:p>
        </w:tc>
        <w:tc>
          <w:tcPr>
            <w:tcW w:w="679" w:type="dxa"/>
            <w:tcBorders>
              <w:top w:val="single" w:color="auto" w:sz="4" w:space="0"/>
              <w:left w:val="single" w:color="auto" w:sz="8" w:space="0"/>
              <w:bottom w:val="single" w:color="auto" w:sz="4" w:space="0"/>
              <w:right w:val="single" w:color="auto" w:sz="12" w:space="0"/>
            </w:tcBorders>
            <w:vAlign w:val="center"/>
          </w:tcPr>
          <w:p>
            <w:pPr>
              <w:spacing w:line="320" w:lineRule="exact"/>
              <w:jc w:val="center"/>
              <w:rPr>
                <w:rFonts w:ascii="宋体" w:hAnsi="宋体"/>
                <w:color w:val="000000"/>
                <w:szCs w:val="21"/>
              </w:rPr>
            </w:pPr>
            <w:r>
              <w:rPr>
                <w:rFonts w:ascii="宋体" w:hAnsi="宋体"/>
                <w:color w:val="000000"/>
                <w:szCs w:val="21"/>
              </w:rPr>
              <w:t>EM4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7"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hint="eastAsia" w:ascii="宋体" w:hAnsi="宋体"/>
                <w:color w:val="000000"/>
                <w:szCs w:val="21"/>
              </w:rPr>
              <w:t>6</w:t>
            </w:r>
          </w:p>
        </w:tc>
        <w:tc>
          <w:tcPr>
            <w:tcW w:w="5559"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color w:val="000000"/>
                <w:szCs w:val="21"/>
              </w:rPr>
            </w:pPr>
            <w:r>
              <w:rPr>
                <w:rFonts w:hint="eastAsia" w:ascii="宋体" w:hAnsi="宋体"/>
                <w:color w:val="000000"/>
                <w:szCs w:val="21"/>
              </w:rPr>
              <w:t>第五章 公共部门工作分析与职位评价</w:t>
            </w:r>
          </w:p>
        </w:tc>
        <w:tc>
          <w:tcPr>
            <w:tcW w:w="851"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color w:val="000000"/>
                <w:szCs w:val="21"/>
              </w:rPr>
            </w:pPr>
            <w:r>
              <w:rPr>
                <w:rFonts w:ascii="宋体" w:hAnsi="宋体"/>
                <w:color w:val="000000"/>
                <w:szCs w:val="21"/>
              </w:rPr>
              <w:t>2</w:t>
            </w:r>
          </w:p>
        </w:tc>
        <w:tc>
          <w:tcPr>
            <w:tcW w:w="708"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ascii="宋体" w:hAnsi="宋体"/>
                <w:color w:val="000000"/>
                <w:szCs w:val="21"/>
              </w:rPr>
              <w:t>CO</w:t>
            </w:r>
            <w:r>
              <w:rPr>
                <w:rFonts w:hint="eastAsia" w:ascii="宋体" w:hAnsi="宋体"/>
                <w:color w:val="000000"/>
                <w:szCs w:val="21"/>
              </w:rPr>
              <w:t>3</w:t>
            </w:r>
          </w:p>
          <w:p>
            <w:pPr>
              <w:spacing w:line="320" w:lineRule="exact"/>
              <w:jc w:val="center"/>
              <w:rPr>
                <w:rFonts w:ascii="宋体" w:hAnsi="宋体"/>
                <w:color w:val="000000"/>
                <w:szCs w:val="21"/>
              </w:rPr>
            </w:pPr>
            <w:r>
              <w:rPr>
                <w:rFonts w:ascii="宋体" w:hAnsi="宋体"/>
                <w:color w:val="000000"/>
                <w:szCs w:val="21"/>
              </w:rPr>
              <w:t>CO</w:t>
            </w:r>
            <w:r>
              <w:rPr>
                <w:rFonts w:hint="eastAsia" w:ascii="宋体" w:hAnsi="宋体"/>
                <w:color w:val="000000"/>
                <w:szCs w:val="21"/>
              </w:rPr>
              <w:t>4</w:t>
            </w:r>
          </w:p>
        </w:tc>
        <w:tc>
          <w:tcPr>
            <w:tcW w:w="709"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ascii="宋体" w:hAnsi="宋体"/>
                <w:color w:val="000000"/>
                <w:szCs w:val="21"/>
              </w:rPr>
              <w:t>PM1</w:t>
            </w:r>
          </w:p>
          <w:p>
            <w:pPr>
              <w:spacing w:line="320" w:lineRule="exact"/>
              <w:jc w:val="center"/>
              <w:rPr>
                <w:rFonts w:ascii="宋体" w:hAnsi="宋体"/>
                <w:color w:val="000000"/>
                <w:szCs w:val="21"/>
              </w:rPr>
            </w:pPr>
            <w:r>
              <w:rPr>
                <w:rFonts w:ascii="宋体" w:hAnsi="宋体"/>
                <w:color w:val="000000"/>
                <w:szCs w:val="21"/>
              </w:rPr>
              <w:t>PM2</w:t>
            </w:r>
          </w:p>
          <w:p>
            <w:pPr>
              <w:spacing w:line="320" w:lineRule="exact"/>
              <w:jc w:val="center"/>
              <w:rPr>
                <w:rFonts w:ascii="宋体" w:hAnsi="宋体"/>
                <w:color w:val="000000"/>
                <w:szCs w:val="21"/>
              </w:rPr>
            </w:pPr>
            <w:r>
              <w:rPr>
                <w:rFonts w:ascii="宋体" w:hAnsi="宋体"/>
                <w:color w:val="000000"/>
                <w:szCs w:val="21"/>
              </w:rPr>
              <w:t>PM</w:t>
            </w:r>
            <w:r>
              <w:rPr>
                <w:rFonts w:hint="eastAsia" w:ascii="宋体" w:hAnsi="宋体"/>
                <w:color w:val="000000"/>
                <w:szCs w:val="21"/>
              </w:rPr>
              <w:t>3</w:t>
            </w:r>
          </w:p>
        </w:tc>
        <w:tc>
          <w:tcPr>
            <w:tcW w:w="679" w:type="dxa"/>
            <w:tcBorders>
              <w:top w:val="single" w:color="auto" w:sz="4" w:space="0"/>
              <w:left w:val="single" w:color="auto" w:sz="8" w:space="0"/>
              <w:bottom w:val="single" w:color="auto" w:sz="4" w:space="0"/>
              <w:right w:val="single" w:color="auto" w:sz="12" w:space="0"/>
            </w:tcBorders>
            <w:vAlign w:val="center"/>
          </w:tcPr>
          <w:p>
            <w:pPr>
              <w:spacing w:line="320" w:lineRule="exact"/>
              <w:jc w:val="center"/>
              <w:rPr>
                <w:rFonts w:ascii="宋体" w:hAnsi="宋体"/>
                <w:color w:val="000000"/>
                <w:szCs w:val="21"/>
              </w:rPr>
            </w:pPr>
            <w:r>
              <w:rPr>
                <w:rFonts w:ascii="宋体" w:hAnsi="宋体"/>
                <w:color w:val="000000"/>
                <w:szCs w:val="21"/>
              </w:rPr>
              <w:t>EM1</w:t>
            </w:r>
          </w:p>
          <w:p>
            <w:pPr>
              <w:spacing w:line="320" w:lineRule="exact"/>
              <w:jc w:val="center"/>
              <w:rPr>
                <w:rFonts w:ascii="宋体" w:hAnsi="宋体"/>
                <w:color w:val="000000"/>
                <w:szCs w:val="21"/>
              </w:rPr>
            </w:pPr>
            <w:r>
              <w:rPr>
                <w:rFonts w:hint="eastAsia" w:ascii="宋体" w:hAnsi="宋体"/>
                <w:color w:val="000000"/>
                <w:szCs w:val="21"/>
              </w:rPr>
              <w:t>EM2</w:t>
            </w:r>
          </w:p>
          <w:p>
            <w:pPr>
              <w:spacing w:line="320" w:lineRule="exact"/>
              <w:jc w:val="center"/>
              <w:rPr>
                <w:rFonts w:hint="eastAsia" w:ascii="宋体" w:hAnsi="宋体"/>
                <w:color w:val="000000"/>
                <w:szCs w:val="21"/>
              </w:rPr>
            </w:pPr>
            <w:r>
              <w:rPr>
                <w:rFonts w:ascii="宋体" w:hAnsi="宋体"/>
                <w:color w:val="000000"/>
                <w:szCs w:val="21"/>
              </w:rPr>
              <w:t>EM5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7"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hint="eastAsia" w:ascii="宋体" w:hAnsi="宋体"/>
                <w:color w:val="000000"/>
                <w:szCs w:val="21"/>
              </w:rPr>
              <w:t>7</w:t>
            </w:r>
          </w:p>
        </w:tc>
        <w:tc>
          <w:tcPr>
            <w:tcW w:w="5559"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color w:val="000000"/>
                <w:szCs w:val="21"/>
              </w:rPr>
            </w:pPr>
            <w:r>
              <w:rPr>
                <w:rFonts w:hint="eastAsia" w:ascii="宋体" w:hAnsi="宋体"/>
                <w:color w:val="000000"/>
                <w:szCs w:val="21"/>
              </w:rPr>
              <w:t>第六章 公共部门人员招募与甄选</w:t>
            </w:r>
          </w:p>
        </w:tc>
        <w:tc>
          <w:tcPr>
            <w:tcW w:w="851"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color w:val="000000"/>
                <w:szCs w:val="21"/>
              </w:rPr>
            </w:pPr>
            <w:r>
              <w:rPr>
                <w:rFonts w:hint="eastAsia" w:ascii="宋体" w:hAnsi="宋体"/>
                <w:color w:val="000000"/>
                <w:szCs w:val="21"/>
              </w:rPr>
              <w:t>2</w:t>
            </w:r>
          </w:p>
        </w:tc>
        <w:tc>
          <w:tcPr>
            <w:tcW w:w="708"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ascii="宋体" w:hAnsi="宋体"/>
                <w:color w:val="000000"/>
                <w:szCs w:val="21"/>
              </w:rPr>
              <w:t>CO</w:t>
            </w:r>
            <w:r>
              <w:rPr>
                <w:rFonts w:hint="eastAsia" w:ascii="宋体" w:hAnsi="宋体"/>
                <w:color w:val="000000"/>
                <w:szCs w:val="21"/>
              </w:rPr>
              <w:t>3</w:t>
            </w:r>
          </w:p>
          <w:p>
            <w:pPr>
              <w:spacing w:line="320" w:lineRule="exact"/>
              <w:jc w:val="center"/>
              <w:rPr>
                <w:rFonts w:ascii="宋体" w:hAnsi="宋体"/>
                <w:color w:val="000000"/>
                <w:szCs w:val="21"/>
              </w:rPr>
            </w:pPr>
            <w:r>
              <w:rPr>
                <w:rFonts w:ascii="宋体" w:hAnsi="宋体"/>
                <w:color w:val="000000"/>
                <w:szCs w:val="21"/>
              </w:rPr>
              <w:t>CO</w:t>
            </w:r>
            <w:r>
              <w:rPr>
                <w:rFonts w:hint="eastAsia" w:ascii="宋体" w:hAnsi="宋体"/>
                <w:color w:val="000000"/>
                <w:szCs w:val="21"/>
              </w:rPr>
              <w:t>4</w:t>
            </w:r>
          </w:p>
        </w:tc>
        <w:tc>
          <w:tcPr>
            <w:tcW w:w="709"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ascii="宋体" w:hAnsi="宋体"/>
                <w:color w:val="000000"/>
                <w:szCs w:val="21"/>
              </w:rPr>
              <w:t>PM1</w:t>
            </w:r>
          </w:p>
          <w:p>
            <w:pPr>
              <w:spacing w:line="320" w:lineRule="exact"/>
              <w:jc w:val="center"/>
              <w:rPr>
                <w:rFonts w:ascii="宋体" w:hAnsi="宋体"/>
                <w:color w:val="000000"/>
                <w:szCs w:val="21"/>
              </w:rPr>
            </w:pPr>
            <w:r>
              <w:rPr>
                <w:rFonts w:ascii="宋体" w:hAnsi="宋体"/>
                <w:color w:val="000000"/>
                <w:szCs w:val="21"/>
              </w:rPr>
              <w:t>PM2</w:t>
            </w:r>
          </w:p>
          <w:p>
            <w:pPr>
              <w:spacing w:line="320" w:lineRule="exact"/>
              <w:jc w:val="center"/>
              <w:rPr>
                <w:rFonts w:ascii="宋体" w:hAnsi="宋体"/>
                <w:color w:val="000000"/>
                <w:szCs w:val="21"/>
              </w:rPr>
            </w:pPr>
            <w:r>
              <w:rPr>
                <w:rFonts w:ascii="宋体" w:hAnsi="宋体"/>
                <w:color w:val="000000"/>
                <w:szCs w:val="21"/>
              </w:rPr>
              <w:t>PM4</w:t>
            </w:r>
          </w:p>
        </w:tc>
        <w:tc>
          <w:tcPr>
            <w:tcW w:w="679" w:type="dxa"/>
            <w:tcBorders>
              <w:top w:val="single" w:color="auto" w:sz="4" w:space="0"/>
              <w:left w:val="single" w:color="auto" w:sz="8" w:space="0"/>
              <w:bottom w:val="single" w:color="auto" w:sz="4" w:space="0"/>
              <w:right w:val="single" w:color="auto" w:sz="12" w:space="0"/>
            </w:tcBorders>
            <w:vAlign w:val="center"/>
          </w:tcPr>
          <w:p>
            <w:pPr>
              <w:spacing w:line="320" w:lineRule="exact"/>
              <w:jc w:val="center"/>
              <w:rPr>
                <w:rFonts w:ascii="宋体" w:hAnsi="宋体"/>
                <w:color w:val="000000"/>
                <w:szCs w:val="21"/>
              </w:rPr>
            </w:pPr>
            <w:r>
              <w:rPr>
                <w:rFonts w:hint="eastAsia" w:ascii="宋体" w:hAnsi="宋体"/>
                <w:color w:val="000000"/>
                <w:szCs w:val="21"/>
              </w:rPr>
              <w:t>EM2</w:t>
            </w:r>
          </w:p>
          <w:p>
            <w:pPr>
              <w:spacing w:line="320" w:lineRule="exact"/>
              <w:jc w:val="center"/>
              <w:rPr>
                <w:rFonts w:hint="eastAsia" w:ascii="宋体" w:hAnsi="宋体"/>
                <w:color w:val="000000"/>
                <w:szCs w:val="21"/>
              </w:rPr>
            </w:pPr>
            <w:r>
              <w:rPr>
                <w:rFonts w:ascii="宋体" w:hAnsi="宋体"/>
                <w:color w:val="000000"/>
                <w:szCs w:val="21"/>
              </w:rPr>
              <w:t>EM5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7"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hint="eastAsia" w:ascii="宋体" w:hAnsi="宋体"/>
                <w:color w:val="000000"/>
                <w:szCs w:val="21"/>
              </w:rPr>
              <w:t>8</w:t>
            </w:r>
          </w:p>
        </w:tc>
        <w:tc>
          <w:tcPr>
            <w:tcW w:w="5559"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color w:val="000000"/>
                <w:szCs w:val="21"/>
              </w:rPr>
            </w:pPr>
            <w:r>
              <w:rPr>
                <w:rFonts w:hint="eastAsia" w:ascii="宋体" w:hAnsi="宋体"/>
                <w:color w:val="000000"/>
                <w:szCs w:val="21"/>
              </w:rPr>
              <w:t>第七章 公共部门人力资源的激励与开发</w:t>
            </w:r>
          </w:p>
        </w:tc>
        <w:tc>
          <w:tcPr>
            <w:tcW w:w="851"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color w:val="000000"/>
                <w:szCs w:val="21"/>
              </w:rPr>
            </w:pPr>
            <w:r>
              <w:rPr>
                <w:rFonts w:hint="eastAsia" w:ascii="宋体" w:hAnsi="宋体"/>
                <w:color w:val="000000"/>
                <w:szCs w:val="21"/>
              </w:rPr>
              <w:t>4</w:t>
            </w:r>
          </w:p>
        </w:tc>
        <w:tc>
          <w:tcPr>
            <w:tcW w:w="708"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ascii="宋体" w:hAnsi="宋体"/>
                <w:color w:val="000000"/>
                <w:szCs w:val="21"/>
              </w:rPr>
              <w:t>CO</w:t>
            </w:r>
            <w:r>
              <w:rPr>
                <w:rFonts w:hint="eastAsia" w:ascii="宋体" w:hAnsi="宋体"/>
                <w:color w:val="000000"/>
                <w:szCs w:val="21"/>
              </w:rPr>
              <w:t>3</w:t>
            </w:r>
          </w:p>
          <w:p>
            <w:pPr>
              <w:spacing w:line="320" w:lineRule="exact"/>
              <w:jc w:val="center"/>
              <w:rPr>
                <w:rFonts w:ascii="宋体" w:hAnsi="宋体"/>
                <w:color w:val="000000"/>
                <w:szCs w:val="21"/>
              </w:rPr>
            </w:pPr>
            <w:r>
              <w:rPr>
                <w:rFonts w:ascii="宋体" w:hAnsi="宋体"/>
                <w:color w:val="000000"/>
                <w:szCs w:val="21"/>
              </w:rPr>
              <w:t>CO</w:t>
            </w:r>
            <w:r>
              <w:rPr>
                <w:rFonts w:hint="eastAsia" w:ascii="宋体" w:hAnsi="宋体"/>
                <w:color w:val="000000"/>
                <w:szCs w:val="21"/>
              </w:rPr>
              <w:t>4</w:t>
            </w:r>
          </w:p>
        </w:tc>
        <w:tc>
          <w:tcPr>
            <w:tcW w:w="709"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ascii="宋体" w:hAnsi="宋体"/>
                <w:color w:val="000000"/>
                <w:szCs w:val="21"/>
              </w:rPr>
              <w:t>PM1</w:t>
            </w:r>
          </w:p>
          <w:p>
            <w:pPr>
              <w:spacing w:line="320" w:lineRule="exact"/>
              <w:jc w:val="center"/>
              <w:rPr>
                <w:rFonts w:ascii="宋体" w:hAnsi="宋体"/>
                <w:color w:val="000000"/>
                <w:szCs w:val="21"/>
              </w:rPr>
            </w:pPr>
            <w:r>
              <w:rPr>
                <w:rFonts w:ascii="宋体" w:hAnsi="宋体"/>
                <w:color w:val="000000"/>
                <w:szCs w:val="21"/>
              </w:rPr>
              <w:t>PM2</w:t>
            </w:r>
          </w:p>
          <w:p>
            <w:pPr>
              <w:spacing w:line="320" w:lineRule="exact"/>
              <w:jc w:val="center"/>
              <w:rPr>
                <w:rFonts w:ascii="宋体" w:hAnsi="宋体"/>
                <w:color w:val="000000"/>
                <w:szCs w:val="21"/>
              </w:rPr>
            </w:pPr>
            <w:r>
              <w:rPr>
                <w:rFonts w:ascii="宋体" w:hAnsi="宋体"/>
                <w:color w:val="000000"/>
                <w:szCs w:val="21"/>
              </w:rPr>
              <w:t>PM</w:t>
            </w:r>
            <w:r>
              <w:rPr>
                <w:rFonts w:hint="eastAsia" w:ascii="宋体" w:hAnsi="宋体"/>
                <w:color w:val="000000"/>
                <w:szCs w:val="21"/>
              </w:rPr>
              <w:t>3</w:t>
            </w:r>
          </w:p>
        </w:tc>
        <w:tc>
          <w:tcPr>
            <w:tcW w:w="679" w:type="dxa"/>
            <w:tcBorders>
              <w:top w:val="single" w:color="auto" w:sz="4" w:space="0"/>
              <w:left w:val="single" w:color="auto" w:sz="8" w:space="0"/>
              <w:bottom w:val="single" w:color="auto" w:sz="4" w:space="0"/>
              <w:right w:val="single" w:color="auto" w:sz="12" w:space="0"/>
            </w:tcBorders>
            <w:vAlign w:val="center"/>
          </w:tcPr>
          <w:p>
            <w:pPr>
              <w:spacing w:line="320" w:lineRule="exact"/>
              <w:jc w:val="center"/>
              <w:rPr>
                <w:rFonts w:ascii="宋体" w:hAnsi="宋体"/>
                <w:color w:val="000000"/>
                <w:szCs w:val="21"/>
              </w:rPr>
            </w:pPr>
            <w:r>
              <w:rPr>
                <w:rFonts w:hint="eastAsia" w:ascii="宋体" w:hAnsi="宋体"/>
                <w:color w:val="000000"/>
                <w:szCs w:val="21"/>
              </w:rPr>
              <w:t>EM2</w:t>
            </w:r>
          </w:p>
          <w:p>
            <w:pPr>
              <w:spacing w:line="320" w:lineRule="exact"/>
              <w:jc w:val="center"/>
              <w:rPr>
                <w:rFonts w:ascii="宋体" w:hAnsi="宋体"/>
                <w:color w:val="000000"/>
                <w:szCs w:val="21"/>
              </w:rPr>
            </w:pPr>
            <w:r>
              <w:rPr>
                <w:rFonts w:ascii="宋体" w:hAnsi="宋体"/>
                <w:color w:val="000000"/>
                <w:szCs w:val="21"/>
              </w:rPr>
              <w:t>EM3</w:t>
            </w:r>
          </w:p>
          <w:p>
            <w:pPr>
              <w:spacing w:line="320" w:lineRule="exact"/>
              <w:jc w:val="center"/>
              <w:rPr>
                <w:rFonts w:ascii="宋体" w:hAnsi="宋体"/>
                <w:color w:val="000000"/>
                <w:szCs w:val="21"/>
              </w:rPr>
            </w:pPr>
            <w:r>
              <w:rPr>
                <w:rFonts w:ascii="宋体" w:hAnsi="宋体"/>
                <w:color w:val="000000"/>
                <w:szCs w:val="21"/>
              </w:rPr>
              <w:t>EM5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7"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hint="eastAsia" w:ascii="宋体" w:hAnsi="宋体"/>
                <w:color w:val="000000"/>
                <w:szCs w:val="21"/>
              </w:rPr>
              <w:t>9</w:t>
            </w:r>
          </w:p>
        </w:tc>
        <w:tc>
          <w:tcPr>
            <w:tcW w:w="5559"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color w:val="000000"/>
                <w:szCs w:val="21"/>
              </w:rPr>
            </w:pPr>
            <w:r>
              <w:rPr>
                <w:rFonts w:hint="eastAsia" w:ascii="宋体" w:hAnsi="宋体"/>
                <w:color w:val="000000"/>
                <w:szCs w:val="21"/>
              </w:rPr>
              <w:t>第八章 公共部门人力资源薪酬管理与福利保险</w:t>
            </w:r>
          </w:p>
        </w:tc>
        <w:tc>
          <w:tcPr>
            <w:tcW w:w="851"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color w:val="000000"/>
                <w:szCs w:val="21"/>
              </w:rPr>
            </w:pPr>
            <w:r>
              <w:rPr>
                <w:rFonts w:hint="eastAsia" w:ascii="宋体" w:hAnsi="宋体"/>
                <w:color w:val="000000"/>
                <w:szCs w:val="21"/>
              </w:rPr>
              <w:t>4</w:t>
            </w:r>
          </w:p>
        </w:tc>
        <w:tc>
          <w:tcPr>
            <w:tcW w:w="708"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ascii="宋体" w:hAnsi="宋体"/>
                <w:color w:val="000000"/>
                <w:szCs w:val="21"/>
              </w:rPr>
              <w:t>CO</w:t>
            </w:r>
            <w:r>
              <w:rPr>
                <w:rFonts w:hint="eastAsia" w:ascii="宋体" w:hAnsi="宋体"/>
                <w:color w:val="000000"/>
                <w:szCs w:val="21"/>
              </w:rPr>
              <w:t>3</w:t>
            </w:r>
          </w:p>
          <w:p>
            <w:pPr>
              <w:spacing w:line="320" w:lineRule="exact"/>
              <w:jc w:val="center"/>
              <w:rPr>
                <w:rFonts w:ascii="宋体" w:hAnsi="宋体"/>
                <w:color w:val="000000"/>
                <w:szCs w:val="21"/>
              </w:rPr>
            </w:pPr>
            <w:r>
              <w:rPr>
                <w:rFonts w:ascii="宋体" w:hAnsi="宋体"/>
                <w:color w:val="000000"/>
                <w:szCs w:val="21"/>
              </w:rPr>
              <w:t>CO</w:t>
            </w:r>
            <w:r>
              <w:rPr>
                <w:rFonts w:hint="eastAsia" w:ascii="宋体" w:hAnsi="宋体"/>
                <w:color w:val="000000"/>
                <w:szCs w:val="21"/>
              </w:rPr>
              <w:t>4</w:t>
            </w:r>
          </w:p>
        </w:tc>
        <w:tc>
          <w:tcPr>
            <w:tcW w:w="709"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ascii="宋体" w:hAnsi="宋体"/>
                <w:color w:val="000000"/>
                <w:szCs w:val="21"/>
              </w:rPr>
              <w:t>PM1</w:t>
            </w:r>
          </w:p>
          <w:p>
            <w:pPr>
              <w:spacing w:line="320" w:lineRule="exact"/>
              <w:jc w:val="center"/>
              <w:rPr>
                <w:rFonts w:ascii="宋体" w:hAnsi="宋体"/>
                <w:color w:val="000000"/>
                <w:szCs w:val="21"/>
              </w:rPr>
            </w:pPr>
            <w:r>
              <w:rPr>
                <w:rFonts w:ascii="宋体" w:hAnsi="宋体"/>
                <w:color w:val="000000"/>
                <w:szCs w:val="21"/>
              </w:rPr>
              <w:t>PM2</w:t>
            </w:r>
          </w:p>
          <w:p>
            <w:pPr>
              <w:spacing w:line="320" w:lineRule="exact"/>
              <w:jc w:val="center"/>
              <w:rPr>
                <w:rFonts w:ascii="宋体" w:hAnsi="宋体"/>
                <w:color w:val="000000"/>
                <w:szCs w:val="21"/>
              </w:rPr>
            </w:pPr>
            <w:r>
              <w:rPr>
                <w:rFonts w:ascii="宋体" w:hAnsi="宋体"/>
                <w:color w:val="000000"/>
                <w:szCs w:val="21"/>
              </w:rPr>
              <w:t>PM</w:t>
            </w:r>
            <w:r>
              <w:rPr>
                <w:rFonts w:hint="eastAsia" w:ascii="宋体" w:hAnsi="宋体"/>
                <w:color w:val="000000"/>
                <w:szCs w:val="21"/>
              </w:rPr>
              <w:t>3</w:t>
            </w:r>
          </w:p>
        </w:tc>
        <w:tc>
          <w:tcPr>
            <w:tcW w:w="679" w:type="dxa"/>
            <w:tcBorders>
              <w:top w:val="single" w:color="auto" w:sz="4" w:space="0"/>
              <w:left w:val="single" w:color="auto" w:sz="8" w:space="0"/>
              <w:bottom w:val="single" w:color="auto" w:sz="4" w:space="0"/>
              <w:right w:val="single" w:color="auto" w:sz="12" w:space="0"/>
            </w:tcBorders>
            <w:vAlign w:val="center"/>
          </w:tcPr>
          <w:p>
            <w:pPr>
              <w:spacing w:line="320" w:lineRule="exact"/>
              <w:jc w:val="center"/>
              <w:rPr>
                <w:rFonts w:ascii="宋体" w:hAnsi="宋体"/>
                <w:color w:val="000000"/>
                <w:szCs w:val="21"/>
              </w:rPr>
            </w:pPr>
            <w:r>
              <w:rPr>
                <w:rFonts w:ascii="宋体" w:hAnsi="宋体"/>
                <w:color w:val="000000"/>
                <w:szCs w:val="21"/>
              </w:rPr>
              <w:t>EM1</w:t>
            </w:r>
          </w:p>
          <w:p>
            <w:pPr>
              <w:spacing w:line="320" w:lineRule="exact"/>
              <w:jc w:val="center"/>
              <w:rPr>
                <w:rFonts w:ascii="宋体" w:hAnsi="宋体"/>
                <w:color w:val="000000"/>
                <w:szCs w:val="21"/>
              </w:rPr>
            </w:pPr>
            <w:r>
              <w:rPr>
                <w:rFonts w:hint="eastAsia" w:ascii="宋体" w:hAnsi="宋体"/>
                <w:color w:val="000000"/>
                <w:szCs w:val="21"/>
              </w:rPr>
              <w:t>EM2</w:t>
            </w:r>
          </w:p>
          <w:p>
            <w:pPr>
              <w:spacing w:line="320" w:lineRule="exact"/>
              <w:jc w:val="center"/>
              <w:rPr>
                <w:rFonts w:hint="eastAsia" w:ascii="宋体" w:hAnsi="宋体"/>
                <w:color w:val="000000"/>
                <w:szCs w:val="21"/>
              </w:rPr>
            </w:pPr>
            <w:r>
              <w:rPr>
                <w:rFonts w:ascii="宋体" w:hAnsi="宋体"/>
                <w:color w:val="000000"/>
                <w:szCs w:val="21"/>
              </w:rPr>
              <w:t>EM5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7"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0</w:t>
            </w:r>
          </w:p>
        </w:tc>
        <w:tc>
          <w:tcPr>
            <w:tcW w:w="5559"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color w:val="000000"/>
                <w:szCs w:val="21"/>
              </w:rPr>
            </w:pPr>
            <w:r>
              <w:rPr>
                <w:rFonts w:hint="eastAsia" w:ascii="宋体" w:hAnsi="宋体"/>
                <w:color w:val="000000"/>
                <w:szCs w:val="21"/>
              </w:rPr>
              <w:t>第九章 公共部门人力资源管理的发展与展望</w:t>
            </w:r>
          </w:p>
        </w:tc>
        <w:tc>
          <w:tcPr>
            <w:tcW w:w="851"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ascii="宋体" w:hAnsi="宋体"/>
                <w:color w:val="000000"/>
                <w:szCs w:val="21"/>
              </w:rPr>
            </w:pPr>
            <w:r>
              <w:rPr>
                <w:rFonts w:hint="eastAsia" w:ascii="宋体" w:hAnsi="宋体"/>
                <w:color w:val="000000"/>
                <w:szCs w:val="21"/>
              </w:rPr>
              <w:t>4</w:t>
            </w:r>
          </w:p>
        </w:tc>
        <w:tc>
          <w:tcPr>
            <w:tcW w:w="708"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ascii="宋体" w:hAnsi="宋体"/>
                <w:color w:val="000000"/>
                <w:szCs w:val="21"/>
              </w:rPr>
              <w:t>CO</w:t>
            </w:r>
            <w:r>
              <w:rPr>
                <w:rFonts w:hint="eastAsia" w:ascii="宋体" w:hAnsi="宋体"/>
                <w:color w:val="000000"/>
                <w:szCs w:val="21"/>
              </w:rPr>
              <w:t>3</w:t>
            </w:r>
          </w:p>
          <w:p>
            <w:pPr>
              <w:spacing w:line="320" w:lineRule="exact"/>
              <w:jc w:val="center"/>
              <w:rPr>
                <w:rFonts w:ascii="宋体" w:hAnsi="宋体"/>
                <w:color w:val="000000"/>
                <w:szCs w:val="21"/>
              </w:rPr>
            </w:pPr>
            <w:r>
              <w:rPr>
                <w:rFonts w:ascii="宋体" w:hAnsi="宋体"/>
                <w:color w:val="000000"/>
                <w:szCs w:val="21"/>
              </w:rPr>
              <w:t>CO</w:t>
            </w:r>
            <w:r>
              <w:rPr>
                <w:rFonts w:hint="eastAsia" w:ascii="宋体" w:hAnsi="宋体"/>
                <w:color w:val="000000"/>
                <w:szCs w:val="21"/>
              </w:rPr>
              <w:t>4</w:t>
            </w:r>
          </w:p>
        </w:tc>
        <w:tc>
          <w:tcPr>
            <w:tcW w:w="709"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ascii="宋体" w:hAnsi="宋体"/>
                <w:color w:val="000000"/>
                <w:szCs w:val="21"/>
              </w:rPr>
              <w:t>PM1</w:t>
            </w:r>
          </w:p>
          <w:p>
            <w:pPr>
              <w:spacing w:line="320" w:lineRule="exact"/>
              <w:jc w:val="center"/>
              <w:rPr>
                <w:rFonts w:ascii="宋体" w:hAnsi="宋体"/>
                <w:color w:val="000000"/>
                <w:szCs w:val="21"/>
              </w:rPr>
            </w:pPr>
            <w:r>
              <w:rPr>
                <w:rFonts w:ascii="宋体" w:hAnsi="宋体"/>
                <w:color w:val="000000"/>
                <w:szCs w:val="21"/>
              </w:rPr>
              <w:t>PM2</w:t>
            </w:r>
          </w:p>
          <w:p>
            <w:pPr>
              <w:spacing w:line="320" w:lineRule="exact"/>
              <w:jc w:val="center"/>
              <w:rPr>
                <w:rFonts w:ascii="宋体" w:hAnsi="宋体"/>
                <w:color w:val="000000"/>
                <w:szCs w:val="21"/>
              </w:rPr>
            </w:pPr>
            <w:r>
              <w:rPr>
                <w:rFonts w:ascii="宋体" w:hAnsi="宋体"/>
                <w:color w:val="000000"/>
                <w:szCs w:val="21"/>
              </w:rPr>
              <w:t>PM4</w:t>
            </w:r>
          </w:p>
        </w:tc>
        <w:tc>
          <w:tcPr>
            <w:tcW w:w="679" w:type="dxa"/>
            <w:tcBorders>
              <w:top w:val="single" w:color="auto" w:sz="4" w:space="0"/>
              <w:left w:val="single" w:color="auto" w:sz="8" w:space="0"/>
              <w:bottom w:val="single" w:color="auto" w:sz="4" w:space="0"/>
              <w:right w:val="single" w:color="auto" w:sz="12" w:space="0"/>
            </w:tcBorders>
            <w:vAlign w:val="center"/>
          </w:tcPr>
          <w:p>
            <w:pPr>
              <w:spacing w:line="320" w:lineRule="exact"/>
              <w:jc w:val="center"/>
              <w:rPr>
                <w:rFonts w:ascii="宋体" w:hAnsi="宋体"/>
                <w:color w:val="000000"/>
                <w:szCs w:val="21"/>
              </w:rPr>
            </w:pPr>
            <w:r>
              <w:rPr>
                <w:rFonts w:hint="eastAsia" w:ascii="宋体" w:hAnsi="宋体"/>
                <w:color w:val="000000"/>
                <w:szCs w:val="21"/>
              </w:rPr>
              <w:t>EM2</w:t>
            </w:r>
          </w:p>
          <w:p>
            <w:pPr>
              <w:spacing w:line="320" w:lineRule="exact"/>
              <w:jc w:val="center"/>
              <w:rPr>
                <w:rFonts w:hint="eastAsia" w:ascii="宋体" w:hAnsi="宋体"/>
                <w:color w:val="000000"/>
                <w:szCs w:val="21"/>
              </w:rPr>
            </w:pPr>
            <w:r>
              <w:rPr>
                <w:rFonts w:ascii="宋体" w:hAnsi="宋体"/>
                <w:color w:val="000000"/>
                <w:szCs w:val="21"/>
              </w:rPr>
              <w:t>EM5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7"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hint="eastAsia" w:ascii="宋体" w:hAnsi="宋体"/>
                <w:color w:val="000000"/>
                <w:szCs w:val="21"/>
              </w:rPr>
              <w:t>1</w:t>
            </w:r>
            <w:r>
              <w:rPr>
                <w:rFonts w:ascii="宋体" w:hAnsi="宋体"/>
                <w:color w:val="000000"/>
                <w:szCs w:val="21"/>
              </w:rPr>
              <w:t>1</w:t>
            </w:r>
          </w:p>
        </w:tc>
        <w:tc>
          <w:tcPr>
            <w:tcW w:w="5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hint="eastAsia" w:ascii="宋体" w:hAnsi="宋体"/>
                <w:color w:val="000000"/>
                <w:szCs w:val="21"/>
              </w:rPr>
              <w:t>期末考试</w:t>
            </w:r>
          </w:p>
        </w:tc>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hint="eastAsia" w:ascii="宋体" w:hAnsi="宋体"/>
                <w:color w:val="000000"/>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ascii="宋体" w:hAnsi="宋体"/>
                <w:color w:val="000000"/>
                <w:szCs w:val="21"/>
              </w:rPr>
              <w:t>CO1</w:t>
            </w:r>
          </w:p>
          <w:p>
            <w:pPr>
              <w:spacing w:line="320" w:lineRule="exact"/>
              <w:jc w:val="center"/>
              <w:rPr>
                <w:rFonts w:ascii="宋体" w:hAnsi="宋体"/>
                <w:color w:val="000000"/>
                <w:szCs w:val="21"/>
              </w:rPr>
            </w:pPr>
            <w:r>
              <w:rPr>
                <w:rFonts w:ascii="宋体" w:hAnsi="宋体"/>
                <w:color w:val="000000"/>
                <w:szCs w:val="21"/>
              </w:rPr>
              <w:t>CO</w:t>
            </w:r>
            <w:r>
              <w:rPr>
                <w:rFonts w:hint="eastAsia" w:ascii="宋体" w:hAnsi="宋体"/>
                <w:color w:val="000000"/>
                <w:szCs w:val="21"/>
              </w:rPr>
              <w:t>2</w:t>
            </w:r>
          </w:p>
          <w:p>
            <w:pPr>
              <w:spacing w:line="320" w:lineRule="exact"/>
              <w:jc w:val="center"/>
              <w:rPr>
                <w:rFonts w:hint="eastAsia" w:ascii="宋体" w:hAnsi="宋体"/>
                <w:color w:val="000000"/>
                <w:szCs w:val="21"/>
              </w:rPr>
            </w:pPr>
            <w:r>
              <w:rPr>
                <w:rFonts w:ascii="宋体" w:hAnsi="宋体"/>
                <w:color w:val="000000"/>
                <w:szCs w:val="21"/>
              </w:rPr>
              <w:t>CO</w:t>
            </w:r>
            <w:r>
              <w:rPr>
                <w:rFonts w:hint="eastAsia" w:ascii="宋体" w:hAnsi="宋体"/>
                <w:color w:val="000000"/>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Cs w:val="21"/>
              </w:rPr>
            </w:pPr>
            <w:r>
              <w:rPr>
                <w:rFonts w:hint="eastAsia" w:ascii="宋体" w:hAnsi="宋体"/>
                <w:color w:val="000000"/>
                <w:szCs w:val="21"/>
              </w:rPr>
              <w:t>-</w:t>
            </w:r>
          </w:p>
        </w:tc>
        <w:tc>
          <w:tcPr>
            <w:tcW w:w="679"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ascii="宋体" w:hAnsi="宋体"/>
                <w:color w:val="000000"/>
                <w:szCs w:val="21"/>
              </w:rPr>
            </w:pPr>
            <w:r>
              <w:rPr>
                <w:rFonts w:ascii="宋体" w:hAnsi="宋体"/>
                <w:color w:val="000000"/>
                <w:szCs w:val="21"/>
              </w:rPr>
              <w:t>EM5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213" w:type="dxa"/>
            <w:gridSpan w:val="6"/>
            <w:tcBorders>
              <w:top w:val="single" w:color="auto" w:sz="4" w:space="0"/>
              <w:left w:val="single" w:color="auto" w:sz="12" w:space="0"/>
              <w:bottom w:val="single" w:color="auto" w:sz="12" w:space="0"/>
              <w:right w:val="single" w:color="auto" w:sz="12" w:space="0"/>
            </w:tcBorders>
            <w:vAlign w:val="center"/>
          </w:tcPr>
          <w:p>
            <w:pPr>
              <w:spacing w:line="320" w:lineRule="exact"/>
              <w:jc w:val="center"/>
              <w:rPr>
                <w:rFonts w:ascii="宋体" w:hAnsi="宋体"/>
                <w:color w:val="000000"/>
                <w:szCs w:val="21"/>
              </w:rPr>
            </w:pPr>
            <w:r>
              <w:rPr>
                <w:rFonts w:hint="eastAsia" w:ascii="宋体" w:hAnsi="宋体"/>
                <w:color w:val="000000"/>
                <w:szCs w:val="21"/>
              </w:rPr>
              <w:t>总学时32，其中理论32学时，实验0学时，上机0学时。</w:t>
            </w:r>
          </w:p>
        </w:tc>
      </w:tr>
    </w:tbl>
    <w:p>
      <w:pPr>
        <w:outlineLvl w:val="0"/>
        <w:rPr>
          <w:rFonts w:hint="eastAsia" w:eastAsia="黑体"/>
          <w:b/>
          <w:bCs/>
          <w:sz w:val="30"/>
          <w:szCs w:val="30"/>
        </w:rPr>
      </w:pPr>
    </w:p>
    <w:p>
      <w:pPr>
        <w:outlineLvl w:val="0"/>
        <w:rPr>
          <w:rFonts w:hint="eastAsia" w:eastAsia="黑体"/>
          <w:b/>
          <w:bCs/>
          <w:sz w:val="30"/>
          <w:szCs w:val="30"/>
        </w:rPr>
      </w:pPr>
      <w:r>
        <w:rPr>
          <w:rFonts w:hint="eastAsia" w:eastAsia="黑体"/>
          <w:b/>
          <w:bCs/>
          <w:sz w:val="30"/>
          <w:szCs w:val="30"/>
        </w:rPr>
        <w:t>四、课程成绩评定</w:t>
      </w:r>
    </w:p>
    <w:p>
      <w:pPr>
        <w:outlineLvl w:val="0"/>
        <w:rPr>
          <w:rFonts w:hint="eastAsia" w:eastAsia="黑体"/>
          <w:b/>
          <w:bCs/>
          <w:sz w:val="30"/>
          <w:szCs w:val="30"/>
        </w:rPr>
      </w:pPr>
      <w:r>
        <w:rPr>
          <w:rFonts w:hint="eastAsia" w:eastAsia="黑体"/>
          <w:b/>
          <w:bCs/>
          <w:sz w:val="30"/>
          <w:szCs w:val="30"/>
        </w:rPr>
        <w:t>（一）总成绩构成及比例</w:t>
      </w:r>
    </w:p>
    <w:p>
      <w:pPr>
        <w:ind w:firstLine="420" w:firstLineChars="200"/>
        <w:outlineLvl w:val="0"/>
        <w:rPr>
          <w:rFonts w:ascii="宋体" w:hAnsi="宋体"/>
          <w:color w:val="000000"/>
          <w:szCs w:val="21"/>
        </w:rPr>
      </w:pPr>
      <w:r>
        <w:rPr>
          <w:rFonts w:hint="eastAsia" w:ascii="宋体" w:hAnsi="宋体"/>
          <w:color w:val="000000"/>
          <w:szCs w:val="21"/>
        </w:rPr>
        <w:t xml:space="preserve">课程总成绩=平时成绩 </w:t>
      </w:r>
      <w:r>
        <w:rPr>
          <w:rFonts w:ascii="宋体" w:hAnsi="宋体"/>
          <w:color w:val="000000"/>
          <w:szCs w:val="21"/>
        </w:rPr>
        <w:t>50</w:t>
      </w:r>
      <w:r>
        <w:rPr>
          <w:rFonts w:hint="eastAsia" w:ascii="宋体" w:hAnsi="宋体"/>
          <w:color w:val="000000"/>
          <w:szCs w:val="21"/>
        </w:rPr>
        <w:t>%（E</w:t>
      </w:r>
      <w:r>
        <w:rPr>
          <w:rFonts w:ascii="宋体" w:hAnsi="宋体"/>
          <w:color w:val="000000"/>
          <w:szCs w:val="21"/>
        </w:rPr>
        <w:t>M1 20</w:t>
      </w:r>
      <w:r>
        <w:rPr>
          <w:rFonts w:hint="eastAsia" w:ascii="宋体" w:hAnsi="宋体"/>
          <w:color w:val="000000"/>
          <w:szCs w:val="21"/>
        </w:rPr>
        <w:t>%，E</w:t>
      </w:r>
      <w:r>
        <w:rPr>
          <w:rFonts w:ascii="宋体" w:hAnsi="宋体"/>
          <w:color w:val="000000"/>
          <w:szCs w:val="21"/>
        </w:rPr>
        <w:t>M2 10</w:t>
      </w:r>
      <w:r>
        <w:rPr>
          <w:rFonts w:hint="eastAsia" w:ascii="宋体" w:hAnsi="宋体"/>
          <w:color w:val="000000"/>
          <w:szCs w:val="21"/>
        </w:rPr>
        <w:t>%，E</w:t>
      </w:r>
      <w:r>
        <w:rPr>
          <w:rFonts w:ascii="宋体" w:hAnsi="宋体"/>
          <w:color w:val="000000"/>
          <w:szCs w:val="21"/>
        </w:rPr>
        <w:t>M3 10</w:t>
      </w:r>
      <w:r>
        <w:rPr>
          <w:rFonts w:hint="eastAsia" w:ascii="宋体" w:hAnsi="宋体"/>
          <w:color w:val="000000"/>
          <w:szCs w:val="21"/>
        </w:rPr>
        <w:t>%，E</w:t>
      </w:r>
      <w:r>
        <w:rPr>
          <w:rFonts w:ascii="宋体" w:hAnsi="宋体"/>
          <w:color w:val="000000"/>
          <w:szCs w:val="21"/>
        </w:rPr>
        <w:t>M4 10</w:t>
      </w:r>
      <w:r>
        <w:rPr>
          <w:rFonts w:hint="eastAsia" w:ascii="宋体" w:hAnsi="宋体"/>
          <w:color w:val="000000"/>
          <w:szCs w:val="21"/>
        </w:rPr>
        <w:t xml:space="preserve">%）+期末考试成绩 </w:t>
      </w:r>
      <w:r>
        <w:rPr>
          <w:rFonts w:ascii="宋体" w:hAnsi="宋体"/>
          <w:color w:val="000000"/>
          <w:szCs w:val="21"/>
        </w:rPr>
        <w:t>50</w:t>
      </w:r>
      <w:r>
        <w:rPr>
          <w:rFonts w:hint="eastAsia" w:ascii="宋体" w:hAnsi="宋体"/>
          <w:color w:val="000000"/>
          <w:szCs w:val="21"/>
        </w:rPr>
        <w:t>%</w:t>
      </w:r>
    </w:p>
    <w:p>
      <w:pPr>
        <w:ind w:firstLine="420" w:firstLineChars="200"/>
        <w:outlineLvl w:val="0"/>
        <w:rPr>
          <w:rFonts w:hint="eastAsia" w:ascii="宋体" w:hAnsi="宋体"/>
          <w:color w:val="000000"/>
          <w:szCs w:val="21"/>
        </w:rPr>
      </w:pPr>
    </w:p>
    <w:p>
      <w:pPr>
        <w:outlineLvl w:val="0"/>
        <w:rPr>
          <w:rFonts w:hint="eastAsia" w:eastAsia="黑体"/>
          <w:b/>
          <w:bCs/>
          <w:sz w:val="30"/>
          <w:szCs w:val="30"/>
        </w:rPr>
      </w:pPr>
      <w:r>
        <w:rPr>
          <w:rFonts w:hint="eastAsia" w:eastAsia="黑体"/>
          <w:b/>
          <w:bCs/>
          <w:sz w:val="30"/>
          <w:szCs w:val="30"/>
        </w:rPr>
        <w:t>（二）平时成绩考核</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701"/>
        <w:gridCol w:w="2780"/>
        <w:gridCol w:w="1747"/>
        <w:gridCol w:w="1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center"/>
          </w:tcPr>
          <w:p>
            <w:pPr>
              <w:jc w:val="center"/>
              <w:outlineLvl w:val="0"/>
              <w:rPr>
                <w:rFonts w:hint="eastAsia" w:ascii="宋体" w:hAnsi="宋体"/>
                <w:b/>
                <w:bCs/>
                <w:sz w:val="18"/>
                <w:szCs w:val="18"/>
              </w:rPr>
            </w:pPr>
            <w:r>
              <w:rPr>
                <w:rFonts w:hint="eastAsia" w:ascii="宋体" w:hAnsi="宋体"/>
                <w:b/>
                <w:bCs/>
                <w:sz w:val="18"/>
                <w:szCs w:val="18"/>
              </w:rPr>
              <w:t>序号</w:t>
            </w:r>
          </w:p>
        </w:tc>
        <w:tc>
          <w:tcPr>
            <w:tcW w:w="1701" w:type="dxa"/>
            <w:vAlign w:val="center"/>
          </w:tcPr>
          <w:p>
            <w:pPr>
              <w:jc w:val="center"/>
              <w:outlineLvl w:val="0"/>
              <w:rPr>
                <w:rFonts w:hint="eastAsia" w:ascii="宋体" w:hAnsi="宋体"/>
                <w:b/>
                <w:bCs/>
                <w:sz w:val="18"/>
                <w:szCs w:val="18"/>
              </w:rPr>
            </w:pPr>
            <w:r>
              <w:rPr>
                <w:rFonts w:hint="eastAsia" w:ascii="宋体" w:hAnsi="宋体"/>
                <w:b/>
                <w:bCs/>
                <w:sz w:val="18"/>
                <w:szCs w:val="18"/>
              </w:rPr>
              <w:t>考核方式</w:t>
            </w:r>
          </w:p>
        </w:tc>
        <w:tc>
          <w:tcPr>
            <w:tcW w:w="2780" w:type="dxa"/>
            <w:vAlign w:val="center"/>
          </w:tcPr>
          <w:p>
            <w:pPr>
              <w:jc w:val="center"/>
              <w:outlineLvl w:val="0"/>
              <w:rPr>
                <w:rFonts w:hint="eastAsia" w:ascii="宋体" w:hAnsi="宋体"/>
                <w:b/>
                <w:bCs/>
                <w:sz w:val="18"/>
                <w:szCs w:val="18"/>
              </w:rPr>
            </w:pPr>
            <w:r>
              <w:rPr>
                <w:rFonts w:hint="eastAsia" w:ascii="宋体" w:hAnsi="宋体"/>
                <w:b/>
                <w:bCs/>
                <w:sz w:val="18"/>
                <w:szCs w:val="18"/>
              </w:rPr>
              <w:t>考核内容</w:t>
            </w:r>
          </w:p>
        </w:tc>
        <w:tc>
          <w:tcPr>
            <w:tcW w:w="1747" w:type="dxa"/>
            <w:vAlign w:val="center"/>
          </w:tcPr>
          <w:p>
            <w:pPr>
              <w:jc w:val="center"/>
              <w:outlineLvl w:val="0"/>
              <w:rPr>
                <w:rFonts w:hint="eastAsia" w:ascii="宋体" w:hAnsi="宋体"/>
                <w:b/>
                <w:bCs/>
                <w:sz w:val="18"/>
                <w:szCs w:val="18"/>
              </w:rPr>
            </w:pPr>
            <w:r>
              <w:rPr>
                <w:rFonts w:hint="eastAsia" w:ascii="宋体" w:hAnsi="宋体"/>
                <w:b/>
                <w:bCs/>
                <w:sz w:val="18"/>
                <w:szCs w:val="18"/>
              </w:rPr>
              <w:t>占平时成绩比例</w:t>
            </w:r>
          </w:p>
        </w:tc>
        <w:tc>
          <w:tcPr>
            <w:tcW w:w="1468" w:type="dxa"/>
            <w:vAlign w:val="center"/>
          </w:tcPr>
          <w:p>
            <w:pPr>
              <w:jc w:val="center"/>
              <w:outlineLvl w:val="0"/>
              <w:rPr>
                <w:rFonts w:hint="eastAsia" w:ascii="宋体" w:hAnsi="宋体"/>
                <w:b/>
                <w:bCs/>
                <w:sz w:val="18"/>
                <w:szCs w:val="18"/>
              </w:rPr>
            </w:pPr>
            <w:r>
              <w:rPr>
                <w:rFonts w:hint="eastAsia" w:ascii="宋体" w:hAnsi="宋体"/>
                <w:b/>
                <w:bCs/>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534" w:type="dxa"/>
            <w:vMerge w:val="restart"/>
            <w:vAlign w:val="center"/>
          </w:tcPr>
          <w:p>
            <w:pPr>
              <w:jc w:val="center"/>
              <w:outlineLvl w:val="0"/>
              <w:rPr>
                <w:rFonts w:hint="eastAsia" w:ascii="宋体" w:hAnsi="宋体"/>
                <w:bCs/>
                <w:sz w:val="18"/>
                <w:szCs w:val="18"/>
              </w:rPr>
            </w:pPr>
            <w:r>
              <w:rPr>
                <w:rFonts w:hint="eastAsia" w:ascii="宋体" w:hAnsi="宋体"/>
                <w:bCs/>
                <w:sz w:val="18"/>
                <w:szCs w:val="18"/>
              </w:rPr>
              <w:t>1</w:t>
            </w:r>
          </w:p>
        </w:tc>
        <w:tc>
          <w:tcPr>
            <w:tcW w:w="1701" w:type="dxa"/>
            <w:vMerge w:val="restart"/>
            <w:vAlign w:val="center"/>
          </w:tcPr>
          <w:p>
            <w:pPr>
              <w:jc w:val="center"/>
              <w:outlineLvl w:val="0"/>
              <w:rPr>
                <w:rFonts w:hint="eastAsia" w:ascii="宋体" w:hAnsi="宋体"/>
                <w:bCs/>
                <w:sz w:val="18"/>
                <w:szCs w:val="18"/>
              </w:rPr>
            </w:pPr>
            <w:r>
              <w:rPr>
                <w:rFonts w:hint="eastAsia" w:ascii="宋体" w:hAnsi="宋体"/>
                <w:bCs/>
                <w:sz w:val="18"/>
                <w:szCs w:val="18"/>
              </w:rPr>
              <w:t>课程作业</w:t>
            </w:r>
          </w:p>
        </w:tc>
        <w:tc>
          <w:tcPr>
            <w:tcW w:w="2780" w:type="dxa"/>
            <w:vAlign w:val="center"/>
          </w:tcPr>
          <w:p>
            <w:pPr>
              <w:jc w:val="left"/>
              <w:outlineLvl w:val="0"/>
              <w:rPr>
                <w:rFonts w:hint="eastAsia" w:ascii="宋体" w:hAnsi="宋体"/>
                <w:bCs/>
                <w:sz w:val="18"/>
                <w:szCs w:val="18"/>
              </w:rPr>
            </w:pPr>
            <w:r>
              <w:rPr>
                <w:rFonts w:hint="eastAsia" w:ascii="宋体" w:hAnsi="宋体"/>
                <w:bCs/>
                <w:sz w:val="18"/>
                <w:szCs w:val="18"/>
              </w:rPr>
              <w:t>作业1：人工智能兴起背景下人力资源建设与管理的困境与机遇</w:t>
            </w:r>
          </w:p>
        </w:tc>
        <w:tc>
          <w:tcPr>
            <w:tcW w:w="1747" w:type="dxa"/>
            <w:vAlign w:val="center"/>
          </w:tcPr>
          <w:p>
            <w:pPr>
              <w:jc w:val="center"/>
              <w:outlineLvl w:val="0"/>
              <w:rPr>
                <w:rFonts w:hint="eastAsia" w:ascii="宋体" w:hAnsi="宋体"/>
                <w:bCs/>
                <w:color w:val="000000"/>
                <w:sz w:val="18"/>
                <w:szCs w:val="18"/>
              </w:rPr>
            </w:pPr>
            <w:r>
              <w:rPr>
                <w:rFonts w:ascii="宋体" w:hAnsi="宋体"/>
                <w:bCs/>
                <w:color w:val="000000"/>
                <w:sz w:val="18"/>
                <w:szCs w:val="18"/>
              </w:rPr>
              <w:t>10</w:t>
            </w:r>
            <w:r>
              <w:rPr>
                <w:rFonts w:hint="eastAsia" w:ascii="宋体" w:hAnsi="宋体"/>
                <w:bCs/>
                <w:color w:val="000000"/>
                <w:sz w:val="18"/>
                <w:szCs w:val="18"/>
              </w:rPr>
              <w:t>%</w:t>
            </w:r>
          </w:p>
        </w:tc>
        <w:tc>
          <w:tcPr>
            <w:tcW w:w="1468" w:type="dxa"/>
            <w:vMerge w:val="restart"/>
            <w:vAlign w:val="center"/>
          </w:tcPr>
          <w:p>
            <w:pPr>
              <w:jc w:val="center"/>
              <w:outlineLvl w:val="0"/>
              <w:rPr>
                <w:rFonts w:hint="eastAsia" w:ascii="宋体" w:hAnsi="宋体"/>
                <w:bCs/>
                <w:sz w:val="18"/>
                <w:szCs w:val="18"/>
              </w:rPr>
            </w:pPr>
            <w:r>
              <w:rPr>
                <w:rFonts w:hint="eastAsia" w:ascii="宋体" w:hAnsi="宋体"/>
                <w:bCs/>
                <w:sz w:val="18"/>
                <w:szCs w:val="18"/>
              </w:rPr>
              <w:t>对应主要知识点列出作业名称，作业需批改、存档，校院抽查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34" w:type="dxa"/>
            <w:vMerge w:val="continue"/>
            <w:vAlign w:val="center"/>
          </w:tcPr>
          <w:p>
            <w:pPr>
              <w:jc w:val="center"/>
              <w:outlineLvl w:val="0"/>
              <w:rPr>
                <w:rFonts w:hint="eastAsia" w:ascii="宋体" w:hAnsi="宋体"/>
                <w:bCs/>
                <w:sz w:val="18"/>
                <w:szCs w:val="18"/>
              </w:rPr>
            </w:pPr>
          </w:p>
        </w:tc>
        <w:tc>
          <w:tcPr>
            <w:tcW w:w="1701" w:type="dxa"/>
            <w:vMerge w:val="continue"/>
            <w:vAlign w:val="center"/>
          </w:tcPr>
          <w:p>
            <w:pPr>
              <w:jc w:val="center"/>
              <w:outlineLvl w:val="0"/>
              <w:rPr>
                <w:rFonts w:hint="eastAsia" w:ascii="宋体" w:hAnsi="宋体"/>
                <w:bCs/>
                <w:sz w:val="18"/>
                <w:szCs w:val="18"/>
              </w:rPr>
            </w:pPr>
          </w:p>
        </w:tc>
        <w:tc>
          <w:tcPr>
            <w:tcW w:w="2780" w:type="dxa"/>
            <w:vAlign w:val="center"/>
          </w:tcPr>
          <w:p>
            <w:pPr>
              <w:jc w:val="left"/>
              <w:outlineLvl w:val="0"/>
              <w:rPr>
                <w:rFonts w:hint="eastAsia" w:ascii="宋体" w:hAnsi="宋体"/>
                <w:bCs/>
                <w:sz w:val="18"/>
                <w:szCs w:val="18"/>
              </w:rPr>
            </w:pPr>
            <w:r>
              <w:rPr>
                <w:rFonts w:hint="eastAsia" w:ascii="宋体" w:hAnsi="宋体"/>
                <w:bCs/>
                <w:sz w:val="18"/>
                <w:szCs w:val="18"/>
              </w:rPr>
              <w:t>作业2：公务员聘任制的利与弊</w:t>
            </w:r>
          </w:p>
        </w:tc>
        <w:tc>
          <w:tcPr>
            <w:tcW w:w="1747" w:type="dxa"/>
            <w:vAlign w:val="center"/>
          </w:tcPr>
          <w:p>
            <w:pPr>
              <w:jc w:val="center"/>
              <w:outlineLvl w:val="0"/>
              <w:rPr>
                <w:rFonts w:hint="eastAsia" w:ascii="宋体" w:hAnsi="宋体"/>
                <w:bCs/>
                <w:color w:val="000000"/>
                <w:sz w:val="18"/>
                <w:szCs w:val="18"/>
              </w:rPr>
            </w:pPr>
            <w:r>
              <w:rPr>
                <w:rFonts w:ascii="宋体" w:hAnsi="宋体"/>
                <w:bCs/>
                <w:color w:val="000000"/>
                <w:sz w:val="18"/>
                <w:szCs w:val="18"/>
              </w:rPr>
              <w:t>10</w:t>
            </w:r>
            <w:r>
              <w:rPr>
                <w:rFonts w:hint="eastAsia" w:ascii="宋体" w:hAnsi="宋体"/>
                <w:bCs/>
                <w:color w:val="000000"/>
                <w:sz w:val="18"/>
                <w:szCs w:val="18"/>
              </w:rPr>
              <w:t>%</w:t>
            </w:r>
          </w:p>
        </w:tc>
        <w:tc>
          <w:tcPr>
            <w:tcW w:w="1468" w:type="dxa"/>
            <w:vMerge w:val="continue"/>
            <w:vAlign w:val="center"/>
          </w:tcPr>
          <w:p>
            <w:pPr>
              <w:jc w:val="center"/>
              <w:outlineLvl w:val="0"/>
              <w:rPr>
                <w:rFonts w:hint="eastAsia" w:ascii="宋体" w:hAnsi="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534" w:type="dxa"/>
            <w:vMerge w:val="continue"/>
            <w:vAlign w:val="center"/>
          </w:tcPr>
          <w:p>
            <w:pPr>
              <w:jc w:val="center"/>
              <w:outlineLvl w:val="0"/>
              <w:rPr>
                <w:rFonts w:hint="eastAsia" w:ascii="宋体" w:hAnsi="宋体"/>
                <w:bCs/>
                <w:sz w:val="18"/>
                <w:szCs w:val="18"/>
              </w:rPr>
            </w:pPr>
          </w:p>
        </w:tc>
        <w:tc>
          <w:tcPr>
            <w:tcW w:w="1701" w:type="dxa"/>
            <w:vMerge w:val="continue"/>
            <w:vAlign w:val="center"/>
          </w:tcPr>
          <w:p>
            <w:pPr>
              <w:jc w:val="center"/>
              <w:outlineLvl w:val="0"/>
              <w:rPr>
                <w:rFonts w:hint="eastAsia" w:ascii="宋体" w:hAnsi="宋体"/>
                <w:bCs/>
                <w:sz w:val="18"/>
                <w:szCs w:val="18"/>
              </w:rPr>
            </w:pPr>
          </w:p>
        </w:tc>
        <w:tc>
          <w:tcPr>
            <w:tcW w:w="2780" w:type="dxa"/>
            <w:vAlign w:val="center"/>
          </w:tcPr>
          <w:p>
            <w:pPr>
              <w:jc w:val="left"/>
              <w:outlineLvl w:val="0"/>
              <w:rPr>
                <w:rFonts w:hint="eastAsia" w:ascii="宋体" w:hAnsi="宋体"/>
                <w:bCs/>
                <w:sz w:val="18"/>
                <w:szCs w:val="18"/>
              </w:rPr>
            </w:pPr>
            <w:r>
              <w:rPr>
                <w:rFonts w:hint="eastAsia" w:ascii="宋体" w:hAnsi="宋体"/>
                <w:bCs/>
                <w:sz w:val="18"/>
                <w:szCs w:val="18"/>
              </w:rPr>
              <w:t>作业3：结合自己的思考谈谈职业生涯发展管理的意义与价值</w:t>
            </w:r>
          </w:p>
        </w:tc>
        <w:tc>
          <w:tcPr>
            <w:tcW w:w="1747" w:type="dxa"/>
            <w:vAlign w:val="center"/>
          </w:tcPr>
          <w:p>
            <w:pPr>
              <w:jc w:val="center"/>
              <w:outlineLvl w:val="0"/>
              <w:rPr>
                <w:rFonts w:ascii="宋体" w:hAnsi="宋体"/>
                <w:bCs/>
                <w:color w:val="000000"/>
                <w:sz w:val="18"/>
                <w:szCs w:val="18"/>
              </w:rPr>
            </w:pPr>
            <w:r>
              <w:rPr>
                <w:rFonts w:ascii="宋体" w:hAnsi="宋体"/>
                <w:bCs/>
                <w:color w:val="000000"/>
                <w:sz w:val="18"/>
                <w:szCs w:val="18"/>
              </w:rPr>
              <w:t>10</w:t>
            </w:r>
            <w:r>
              <w:rPr>
                <w:rFonts w:hint="eastAsia" w:ascii="宋体" w:hAnsi="宋体"/>
                <w:bCs/>
                <w:color w:val="000000"/>
                <w:sz w:val="18"/>
                <w:szCs w:val="18"/>
              </w:rPr>
              <w:t>%</w:t>
            </w:r>
          </w:p>
        </w:tc>
        <w:tc>
          <w:tcPr>
            <w:tcW w:w="1468" w:type="dxa"/>
            <w:vMerge w:val="continue"/>
            <w:vAlign w:val="center"/>
          </w:tcPr>
          <w:p>
            <w:pPr>
              <w:jc w:val="center"/>
              <w:outlineLvl w:val="0"/>
              <w:rPr>
                <w:rFonts w:hint="eastAsia" w:ascii="宋体" w:hAnsi="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7" w:hRule="atLeast"/>
        </w:trPr>
        <w:tc>
          <w:tcPr>
            <w:tcW w:w="534" w:type="dxa"/>
            <w:vMerge w:val="continue"/>
            <w:vAlign w:val="center"/>
          </w:tcPr>
          <w:p>
            <w:pPr>
              <w:jc w:val="center"/>
              <w:outlineLvl w:val="0"/>
              <w:rPr>
                <w:rFonts w:hint="eastAsia" w:ascii="宋体" w:hAnsi="宋体"/>
                <w:bCs/>
                <w:sz w:val="18"/>
                <w:szCs w:val="18"/>
              </w:rPr>
            </w:pPr>
          </w:p>
        </w:tc>
        <w:tc>
          <w:tcPr>
            <w:tcW w:w="1701" w:type="dxa"/>
            <w:vMerge w:val="continue"/>
            <w:vAlign w:val="center"/>
          </w:tcPr>
          <w:p>
            <w:pPr>
              <w:jc w:val="center"/>
              <w:outlineLvl w:val="0"/>
              <w:rPr>
                <w:rFonts w:hint="eastAsia" w:ascii="宋体" w:hAnsi="宋体"/>
                <w:bCs/>
                <w:sz w:val="18"/>
                <w:szCs w:val="18"/>
              </w:rPr>
            </w:pPr>
          </w:p>
        </w:tc>
        <w:tc>
          <w:tcPr>
            <w:tcW w:w="2780" w:type="dxa"/>
            <w:vAlign w:val="center"/>
          </w:tcPr>
          <w:p>
            <w:pPr>
              <w:jc w:val="left"/>
              <w:outlineLvl w:val="0"/>
              <w:rPr>
                <w:rFonts w:hint="eastAsia" w:ascii="宋体" w:hAnsi="宋体"/>
                <w:bCs/>
                <w:sz w:val="18"/>
                <w:szCs w:val="18"/>
              </w:rPr>
            </w:pPr>
            <w:r>
              <w:rPr>
                <w:rFonts w:hint="eastAsia" w:ascii="宋体" w:hAnsi="宋体"/>
                <w:bCs/>
                <w:sz w:val="18"/>
                <w:szCs w:val="18"/>
              </w:rPr>
              <w:t>作业4：《公共部门人力资源管理》融入“课程思政”的建议，或者对于课程讲授、章节安排等方面的意见与建议</w:t>
            </w:r>
          </w:p>
        </w:tc>
        <w:tc>
          <w:tcPr>
            <w:tcW w:w="1747" w:type="dxa"/>
            <w:vAlign w:val="center"/>
          </w:tcPr>
          <w:p>
            <w:pPr>
              <w:jc w:val="center"/>
              <w:outlineLvl w:val="0"/>
              <w:rPr>
                <w:rFonts w:ascii="宋体" w:hAnsi="宋体"/>
                <w:bCs/>
                <w:color w:val="000000"/>
                <w:sz w:val="18"/>
                <w:szCs w:val="18"/>
              </w:rPr>
            </w:pPr>
            <w:r>
              <w:rPr>
                <w:rFonts w:ascii="宋体" w:hAnsi="宋体"/>
                <w:bCs/>
                <w:color w:val="000000"/>
                <w:sz w:val="18"/>
                <w:szCs w:val="18"/>
              </w:rPr>
              <w:t>10</w:t>
            </w:r>
            <w:r>
              <w:rPr>
                <w:rFonts w:hint="eastAsia" w:ascii="宋体" w:hAnsi="宋体"/>
                <w:bCs/>
                <w:color w:val="000000"/>
                <w:sz w:val="18"/>
                <w:szCs w:val="18"/>
              </w:rPr>
              <w:t>%</w:t>
            </w:r>
          </w:p>
        </w:tc>
        <w:tc>
          <w:tcPr>
            <w:tcW w:w="1468" w:type="dxa"/>
            <w:vMerge w:val="continue"/>
            <w:vAlign w:val="center"/>
          </w:tcPr>
          <w:p>
            <w:pPr>
              <w:jc w:val="center"/>
              <w:outlineLvl w:val="0"/>
              <w:rPr>
                <w:rFonts w:hint="eastAsia" w:ascii="宋体" w:hAnsi="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534" w:type="dxa"/>
            <w:vAlign w:val="center"/>
          </w:tcPr>
          <w:p>
            <w:pPr>
              <w:jc w:val="center"/>
              <w:outlineLvl w:val="0"/>
              <w:rPr>
                <w:rFonts w:hint="eastAsia" w:ascii="宋体" w:hAnsi="宋体"/>
                <w:bCs/>
                <w:sz w:val="18"/>
                <w:szCs w:val="18"/>
              </w:rPr>
            </w:pPr>
            <w:r>
              <w:rPr>
                <w:rFonts w:hint="eastAsia" w:ascii="宋体" w:hAnsi="宋体"/>
                <w:bCs/>
                <w:sz w:val="18"/>
                <w:szCs w:val="18"/>
              </w:rPr>
              <w:t>2</w:t>
            </w:r>
          </w:p>
        </w:tc>
        <w:tc>
          <w:tcPr>
            <w:tcW w:w="1701" w:type="dxa"/>
            <w:vAlign w:val="center"/>
          </w:tcPr>
          <w:p>
            <w:pPr>
              <w:jc w:val="center"/>
              <w:outlineLvl w:val="0"/>
              <w:rPr>
                <w:rFonts w:hint="eastAsia" w:ascii="宋体" w:hAnsi="宋体"/>
                <w:bCs/>
                <w:sz w:val="18"/>
                <w:szCs w:val="18"/>
              </w:rPr>
            </w:pPr>
            <w:r>
              <w:rPr>
                <w:rFonts w:hint="eastAsia" w:ascii="宋体" w:hAnsi="宋体"/>
                <w:bCs/>
                <w:sz w:val="18"/>
                <w:szCs w:val="18"/>
              </w:rPr>
              <w:t>课堂笔记</w:t>
            </w:r>
          </w:p>
        </w:tc>
        <w:tc>
          <w:tcPr>
            <w:tcW w:w="2780" w:type="dxa"/>
            <w:vAlign w:val="center"/>
          </w:tcPr>
          <w:p>
            <w:pPr>
              <w:jc w:val="center"/>
              <w:outlineLvl w:val="0"/>
              <w:rPr>
                <w:rFonts w:hint="eastAsia" w:ascii="宋体" w:hAnsi="宋体"/>
                <w:bCs/>
                <w:sz w:val="18"/>
                <w:szCs w:val="18"/>
              </w:rPr>
            </w:pPr>
            <w:r>
              <w:rPr>
                <w:rFonts w:hint="eastAsia" w:ascii="宋体" w:hAnsi="宋体"/>
                <w:bCs/>
                <w:sz w:val="18"/>
                <w:szCs w:val="18"/>
              </w:rPr>
              <w:t>清晰、完整、有条理</w:t>
            </w:r>
          </w:p>
        </w:tc>
        <w:tc>
          <w:tcPr>
            <w:tcW w:w="1747" w:type="dxa"/>
            <w:vAlign w:val="center"/>
          </w:tcPr>
          <w:p>
            <w:pPr>
              <w:jc w:val="center"/>
              <w:outlineLvl w:val="0"/>
              <w:rPr>
                <w:rFonts w:hint="eastAsia" w:ascii="宋体" w:hAnsi="宋体"/>
                <w:bCs/>
                <w:color w:val="000000"/>
                <w:sz w:val="18"/>
                <w:szCs w:val="18"/>
              </w:rPr>
            </w:pPr>
            <w:r>
              <w:rPr>
                <w:rFonts w:ascii="宋体" w:hAnsi="宋体"/>
                <w:bCs/>
                <w:color w:val="000000"/>
                <w:sz w:val="18"/>
                <w:szCs w:val="18"/>
              </w:rPr>
              <w:t>20</w:t>
            </w:r>
            <w:r>
              <w:rPr>
                <w:rFonts w:hint="eastAsia" w:ascii="宋体" w:hAnsi="宋体"/>
                <w:bCs/>
                <w:color w:val="000000"/>
                <w:sz w:val="18"/>
                <w:szCs w:val="18"/>
              </w:rPr>
              <w:t>%</w:t>
            </w:r>
          </w:p>
        </w:tc>
        <w:tc>
          <w:tcPr>
            <w:tcW w:w="1468" w:type="dxa"/>
            <w:vMerge w:val="restart"/>
            <w:vAlign w:val="center"/>
          </w:tcPr>
          <w:p>
            <w:pPr>
              <w:jc w:val="center"/>
              <w:outlineLvl w:val="0"/>
              <w:rPr>
                <w:rFonts w:hint="eastAsia" w:ascii="宋体" w:hAnsi="宋体"/>
                <w:bCs/>
                <w:sz w:val="18"/>
                <w:szCs w:val="18"/>
              </w:rPr>
            </w:pPr>
            <w:r>
              <w:rPr>
                <w:rFonts w:hint="eastAsia" w:ascii="宋体" w:hAnsi="宋体"/>
                <w:bCs/>
                <w:sz w:val="18"/>
                <w:szCs w:val="18"/>
              </w:rPr>
              <w:t>需在教学日志上完整记录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34" w:type="dxa"/>
            <w:vAlign w:val="center"/>
          </w:tcPr>
          <w:p>
            <w:pPr>
              <w:jc w:val="center"/>
              <w:outlineLvl w:val="0"/>
              <w:rPr>
                <w:rFonts w:hint="eastAsia" w:ascii="宋体" w:hAnsi="宋体"/>
                <w:bCs/>
                <w:sz w:val="18"/>
                <w:szCs w:val="18"/>
              </w:rPr>
            </w:pPr>
            <w:r>
              <w:rPr>
                <w:rFonts w:hint="eastAsia" w:ascii="宋体" w:hAnsi="宋体"/>
                <w:bCs/>
                <w:sz w:val="18"/>
                <w:szCs w:val="18"/>
              </w:rPr>
              <w:t>3</w:t>
            </w:r>
          </w:p>
        </w:tc>
        <w:tc>
          <w:tcPr>
            <w:tcW w:w="1701" w:type="dxa"/>
            <w:vAlign w:val="center"/>
          </w:tcPr>
          <w:p>
            <w:pPr>
              <w:jc w:val="center"/>
              <w:outlineLvl w:val="0"/>
              <w:rPr>
                <w:rFonts w:hint="eastAsia" w:ascii="宋体" w:hAnsi="宋体"/>
                <w:bCs/>
                <w:sz w:val="18"/>
                <w:szCs w:val="18"/>
              </w:rPr>
            </w:pPr>
            <w:r>
              <w:rPr>
                <w:rFonts w:hint="eastAsia" w:ascii="宋体" w:hAnsi="宋体"/>
                <w:bCs/>
                <w:sz w:val="18"/>
                <w:szCs w:val="18"/>
              </w:rPr>
              <w:t>出勤</w:t>
            </w:r>
          </w:p>
        </w:tc>
        <w:tc>
          <w:tcPr>
            <w:tcW w:w="2780" w:type="dxa"/>
            <w:vAlign w:val="center"/>
          </w:tcPr>
          <w:p>
            <w:pPr>
              <w:jc w:val="center"/>
              <w:outlineLvl w:val="0"/>
              <w:rPr>
                <w:rFonts w:hint="eastAsia" w:ascii="宋体" w:hAnsi="宋体"/>
                <w:bCs/>
                <w:sz w:val="18"/>
                <w:szCs w:val="18"/>
              </w:rPr>
            </w:pPr>
            <w:r>
              <w:rPr>
                <w:rFonts w:hint="eastAsia" w:ascii="宋体" w:hAnsi="宋体"/>
                <w:bCs/>
                <w:sz w:val="18"/>
                <w:szCs w:val="18"/>
              </w:rPr>
              <w:t>迟到、早退、旷课、缺勤</w:t>
            </w:r>
          </w:p>
        </w:tc>
        <w:tc>
          <w:tcPr>
            <w:tcW w:w="1747" w:type="dxa"/>
            <w:vAlign w:val="center"/>
          </w:tcPr>
          <w:p>
            <w:pPr>
              <w:jc w:val="center"/>
              <w:outlineLvl w:val="0"/>
              <w:rPr>
                <w:rFonts w:hint="eastAsia" w:ascii="宋体" w:hAnsi="宋体"/>
                <w:bCs/>
                <w:sz w:val="18"/>
                <w:szCs w:val="18"/>
              </w:rPr>
            </w:pPr>
            <w:r>
              <w:rPr>
                <w:rFonts w:ascii="宋体" w:hAnsi="宋体"/>
                <w:bCs/>
                <w:sz w:val="18"/>
                <w:szCs w:val="18"/>
              </w:rPr>
              <w:t>20</w:t>
            </w:r>
            <w:r>
              <w:rPr>
                <w:rFonts w:hint="eastAsia" w:ascii="宋体" w:hAnsi="宋体"/>
                <w:bCs/>
                <w:sz w:val="18"/>
                <w:szCs w:val="18"/>
              </w:rPr>
              <w:t>%</w:t>
            </w:r>
          </w:p>
        </w:tc>
        <w:tc>
          <w:tcPr>
            <w:tcW w:w="1468" w:type="dxa"/>
            <w:vMerge w:val="continue"/>
            <w:vAlign w:val="center"/>
          </w:tcPr>
          <w:p>
            <w:pPr>
              <w:jc w:val="center"/>
              <w:outlineLvl w:val="0"/>
              <w:rPr>
                <w:rFonts w:hint="eastAsia" w:ascii="宋体" w:hAnsi="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534" w:type="dxa"/>
            <w:vAlign w:val="center"/>
          </w:tcPr>
          <w:p>
            <w:pPr>
              <w:jc w:val="center"/>
              <w:outlineLvl w:val="0"/>
              <w:rPr>
                <w:rFonts w:hint="eastAsia" w:ascii="宋体" w:hAnsi="宋体"/>
                <w:bCs/>
                <w:sz w:val="18"/>
                <w:szCs w:val="18"/>
              </w:rPr>
            </w:pPr>
            <w:r>
              <w:rPr>
                <w:rFonts w:hint="eastAsia" w:ascii="宋体" w:hAnsi="宋体"/>
                <w:bCs/>
                <w:sz w:val="18"/>
                <w:szCs w:val="18"/>
              </w:rPr>
              <w:t>4</w:t>
            </w:r>
          </w:p>
        </w:tc>
        <w:tc>
          <w:tcPr>
            <w:tcW w:w="1701" w:type="dxa"/>
            <w:vAlign w:val="center"/>
          </w:tcPr>
          <w:p>
            <w:pPr>
              <w:jc w:val="center"/>
              <w:outlineLvl w:val="0"/>
              <w:rPr>
                <w:rFonts w:hint="eastAsia" w:ascii="宋体" w:hAnsi="宋体"/>
                <w:bCs/>
                <w:sz w:val="18"/>
                <w:szCs w:val="18"/>
              </w:rPr>
            </w:pPr>
            <w:r>
              <w:rPr>
                <w:rFonts w:hint="eastAsia" w:ascii="宋体" w:hAnsi="宋体"/>
                <w:bCs/>
                <w:sz w:val="18"/>
                <w:szCs w:val="18"/>
              </w:rPr>
              <w:t>期中考试</w:t>
            </w:r>
          </w:p>
        </w:tc>
        <w:tc>
          <w:tcPr>
            <w:tcW w:w="2780" w:type="dxa"/>
            <w:vAlign w:val="center"/>
          </w:tcPr>
          <w:p>
            <w:pPr>
              <w:jc w:val="center"/>
              <w:outlineLvl w:val="0"/>
              <w:rPr>
                <w:rFonts w:hint="eastAsia" w:ascii="宋体" w:hAnsi="宋体"/>
                <w:bCs/>
                <w:sz w:val="18"/>
                <w:szCs w:val="18"/>
              </w:rPr>
            </w:pPr>
            <w:r>
              <w:rPr>
                <w:rFonts w:hint="eastAsia" w:ascii="宋体" w:hAnsi="宋体"/>
                <w:bCs/>
                <w:sz w:val="18"/>
                <w:szCs w:val="18"/>
              </w:rPr>
              <w:t>考查前期所学的相关内容</w:t>
            </w:r>
          </w:p>
        </w:tc>
        <w:tc>
          <w:tcPr>
            <w:tcW w:w="1747" w:type="dxa"/>
            <w:vAlign w:val="center"/>
          </w:tcPr>
          <w:p>
            <w:pPr>
              <w:jc w:val="center"/>
              <w:outlineLvl w:val="0"/>
              <w:rPr>
                <w:rFonts w:hint="eastAsia" w:ascii="宋体" w:hAnsi="宋体"/>
                <w:bCs/>
                <w:sz w:val="18"/>
                <w:szCs w:val="18"/>
              </w:rPr>
            </w:pPr>
            <w:r>
              <w:rPr>
                <w:rFonts w:ascii="宋体" w:hAnsi="宋体"/>
                <w:bCs/>
                <w:sz w:val="18"/>
                <w:szCs w:val="18"/>
              </w:rPr>
              <w:t>20</w:t>
            </w:r>
            <w:r>
              <w:rPr>
                <w:rFonts w:hint="eastAsia" w:ascii="宋体" w:hAnsi="宋体"/>
                <w:bCs/>
                <w:sz w:val="18"/>
                <w:szCs w:val="18"/>
              </w:rPr>
              <w:t>%</w:t>
            </w:r>
          </w:p>
        </w:tc>
        <w:tc>
          <w:tcPr>
            <w:tcW w:w="1468" w:type="dxa"/>
            <w:vMerge w:val="continue"/>
            <w:vAlign w:val="center"/>
          </w:tcPr>
          <w:p>
            <w:pPr>
              <w:jc w:val="center"/>
              <w:outlineLvl w:val="0"/>
              <w:rPr>
                <w:rFonts w:hint="eastAsia" w:ascii="宋体" w:hAnsi="宋体"/>
                <w:bCs/>
                <w:sz w:val="18"/>
                <w:szCs w:val="18"/>
              </w:rPr>
            </w:pPr>
          </w:p>
        </w:tc>
      </w:tr>
    </w:tbl>
    <w:p>
      <w:pPr>
        <w:ind w:firstLine="360" w:firstLineChars="200"/>
        <w:outlineLvl w:val="0"/>
        <w:rPr>
          <w:rFonts w:eastAsia="黑体"/>
          <w:bCs/>
          <w:sz w:val="18"/>
          <w:szCs w:val="18"/>
        </w:rPr>
      </w:pPr>
      <w:r>
        <w:rPr>
          <w:rFonts w:hint="eastAsia" w:eastAsia="黑体"/>
          <w:bCs/>
          <w:sz w:val="18"/>
          <w:szCs w:val="18"/>
        </w:rPr>
        <w:t>附注：每门课程作业≥3次，2.0学分以上，每增加0.5学分应增加1次作业。</w:t>
      </w:r>
    </w:p>
    <w:p>
      <w:pPr>
        <w:ind w:firstLine="602" w:firstLineChars="200"/>
        <w:outlineLvl w:val="0"/>
        <w:rPr>
          <w:rFonts w:hint="eastAsia" w:eastAsia="黑体"/>
          <w:b/>
          <w:bCs/>
          <w:sz w:val="30"/>
          <w:szCs w:val="30"/>
        </w:rPr>
      </w:pPr>
    </w:p>
    <w:p>
      <w:pPr>
        <w:outlineLvl w:val="0"/>
        <w:rPr>
          <w:rFonts w:hint="eastAsia" w:eastAsia="黑体"/>
          <w:b/>
          <w:bCs/>
          <w:sz w:val="30"/>
          <w:szCs w:val="30"/>
        </w:rPr>
      </w:pPr>
      <w:r>
        <w:rPr>
          <w:rFonts w:hint="eastAsia" w:eastAsia="黑体"/>
          <w:b/>
          <w:bCs/>
          <w:sz w:val="30"/>
          <w:szCs w:val="30"/>
        </w:rPr>
        <w:t>五、参考书目和资料</w:t>
      </w:r>
    </w:p>
    <w:p>
      <w:pPr>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1</w:t>
      </w:r>
      <w:r>
        <w:rPr>
          <w:rFonts w:ascii="宋体" w:hAnsi="宋体"/>
          <w:color w:val="000000"/>
          <w:szCs w:val="21"/>
        </w:rPr>
        <w:t>]赵秋成</w:t>
      </w:r>
      <w:r>
        <w:rPr>
          <w:rFonts w:hint="eastAsia" w:ascii="宋体" w:hAnsi="宋体"/>
          <w:color w:val="000000"/>
          <w:szCs w:val="21"/>
        </w:rPr>
        <w:t>，</w:t>
      </w:r>
      <w:r>
        <w:rPr>
          <w:rFonts w:ascii="宋体" w:hAnsi="宋体"/>
          <w:color w:val="000000"/>
          <w:szCs w:val="21"/>
        </w:rPr>
        <w:t>杨秀凌</w:t>
      </w:r>
      <w:r>
        <w:rPr>
          <w:rFonts w:hint="eastAsia" w:ascii="宋体" w:hAnsi="宋体"/>
          <w:color w:val="000000"/>
          <w:szCs w:val="21"/>
        </w:rPr>
        <w:t>，</w:t>
      </w:r>
      <w:r>
        <w:rPr>
          <w:rFonts w:ascii="宋体" w:hAnsi="宋体"/>
          <w:color w:val="000000"/>
          <w:szCs w:val="21"/>
        </w:rPr>
        <w:t>曹静.公共部门人力资源管理[M].清华大学出版社,2014</w:t>
      </w:r>
    </w:p>
    <w:p>
      <w:pPr>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2</w:t>
      </w:r>
      <w:r>
        <w:rPr>
          <w:rFonts w:ascii="宋体" w:hAnsi="宋体"/>
          <w:color w:val="000000"/>
          <w:szCs w:val="21"/>
        </w:rPr>
        <w:t>]李德志.公共部门人力资源管理与开发[M].科学出版社,2016</w:t>
      </w:r>
    </w:p>
    <w:p>
      <w:pPr>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3</w:t>
      </w:r>
      <w:r>
        <w:rPr>
          <w:rFonts w:ascii="宋体" w:hAnsi="宋体"/>
          <w:color w:val="000000"/>
          <w:szCs w:val="21"/>
        </w:rPr>
        <w:t>]唐纳德·E·克林纳,约翰·纳尔班迪,贾里德·洛伦斯.公共部门人力资源管理系统与战略[M].中国人民大学出版社,2013</w:t>
      </w:r>
    </w:p>
    <w:p>
      <w:pPr>
        <w:ind w:firstLine="602" w:firstLineChars="200"/>
        <w:rPr>
          <w:rFonts w:hint="eastAsia" w:eastAsia="黑体"/>
          <w:b/>
          <w:bCs/>
          <w:sz w:val="30"/>
          <w:szCs w:val="30"/>
        </w:rPr>
      </w:pPr>
    </w:p>
    <w:p>
      <w:pPr>
        <w:outlineLvl w:val="0"/>
        <w:rPr>
          <w:rFonts w:eastAsia="黑体"/>
          <w:b/>
          <w:bCs/>
          <w:sz w:val="30"/>
          <w:szCs w:val="30"/>
        </w:rPr>
      </w:pPr>
      <w:r>
        <w:rPr>
          <w:rFonts w:hint="eastAsia" w:eastAsia="黑体"/>
          <w:b/>
          <w:bCs/>
          <w:sz w:val="30"/>
          <w:szCs w:val="30"/>
        </w:rPr>
        <w:t>六、专业个性化需求补充说明</w:t>
      </w:r>
    </w:p>
    <w:p>
      <w:pPr>
        <w:ind w:firstLine="420" w:firstLineChars="200"/>
        <w:outlineLvl w:val="0"/>
        <w:rPr>
          <w:rFonts w:hint="eastAsia"/>
          <w:color w:val="000000"/>
          <w:szCs w:val="21"/>
        </w:rPr>
      </w:pPr>
      <w:r>
        <w:rPr>
          <w:rFonts w:hint="eastAsia" w:ascii="宋体" w:hAnsi="宋体" w:cs="宋体"/>
        </w:rPr>
        <w:t>《公共部门人力资源管理》是一门理论与实践相结合的课程，既有比较抽象的理论知识，也有应用性较强的具体工作方法，学生在学习过程中不仅需要阅读理论文献，还需要配合典型案例，更要结合当前公共部门人力资源管理实际，把学习的知识运用到具体工作问题分析之中。课程开展中，会议读书会的形式与学生交流经典文献，也会以案例剖析的形式，把实际工作带入课堂，视频教学、情景模拟将融入其中。</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Emoji">
    <w:altName w:val="Segoe UI"/>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6"/>
                  <w:rPr>
                    <w:rFonts w:hint="eastAsia"/>
                  </w:rPr>
                </w:pPr>
                <w:r>
                  <w:fldChar w:fldCharType="begin"/>
                </w:r>
                <w:r>
                  <w:instrText xml:space="preserve"> PAGE  \* MERGEFORMAT </w:instrText>
                </w:r>
                <w:r>
                  <w:fldChar w:fldCharType="separate"/>
                </w:r>
                <w:r>
                  <w:rPr>
                    <w:lang w:val="en-US" w:eastAsia="zh-CN"/>
                  </w:rPr>
                  <w:t>1</w:t>
                </w:r>
                <w:r>
                  <w:rPr>
                    <w:lang w:val="en-US"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A46B5"/>
    <w:rsid w:val="000144AB"/>
    <w:rsid w:val="00057295"/>
    <w:rsid w:val="0009170D"/>
    <w:rsid w:val="00095888"/>
    <w:rsid w:val="000A34F1"/>
    <w:rsid w:val="000A5B7D"/>
    <w:rsid w:val="000A6723"/>
    <w:rsid w:val="000C12B0"/>
    <w:rsid w:val="000C2AA9"/>
    <w:rsid w:val="000C5907"/>
    <w:rsid w:val="0010144C"/>
    <w:rsid w:val="00111392"/>
    <w:rsid w:val="00113003"/>
    <w:rsid w:val="00114A5E"/>
    <w:rsid w:val="00124A5D"/>
    <w:rsid w:val="00154812"/>
    <w:rsid w:val="00172C6E"/>
    <w:rsid w:val="00173084"/>
    <w:rsid w:val="001900BF"/>
    <w:rsid w:val="001913A7"/>
    <w:rsid w:val="001B0545"/>
    <w:rsid w:val="001B0721"/>
    <w:rsid w:val="001B14B2"/>
    <w:rsid w:val="001B63F6"/>
    <w:rsid w:val="001C09CA"/>
    <w:rsid w:val="0020245A"/>
    <w:rsid w:val="00211440"/>
    <w:rsid w:val="00217861"/>
    <w:rsid w:val="00223E42"/>
    <w:rsid w:val="0023419E"/>
    <w:rsid w:val="00241D13"/>
    <w:rsid w:val="00254B05"/>
    <w:rsid w:val="00257F49"/>
    <w:rsid w:val="0028696A"/>
    <w:rsid w:val="002B605C"/>
    <w:rsid w:val="002C00D7"/>
    <w:rsid w:val="002D22DA"/>
    <w:rsid w:val="002D6CD1"/>
    <w:rsid w:val="00333C25"/>
    <w:rsid w:val="003400FB"/>
    <w:rsid w:val="003434DB"/>
    <w:rsid w:val="003673AF"/>
    <w:rsid w:val="0037100C"/>
    <w:rsid w:val="00373829"/>
    <w:rsid w:val="00382DBE"/>
    <w:rsid w:val="00386590"/>
    <w:rsid w:val="003A2E3C"/>
    <w:rsid w:val="003D7FDE"/>
    <w:rsid w:val="00400E0D"/>
    <w:rsid w:val="004158CC"/>
    <w:rsid w:val="00415A09"/>
    <w:rsid w:val="00416473"/>
    <w:rsid w:val="00423F99"/>
    <w:rsid w:val="004345DF"/>
    <w:rsid w:val="00434ACF"/>
    <w:rsid w:val="0046641B"/>
    <w:rsid w:val="00466F43"/>
    <w:rsid w:val="0047460E"/>
    <w:rsid w:val="00474AC8"/>
    <w:rsid w:val="004962E7"/>
    <w:rsid w:val="004A4C92"/>
    <w:rsid w:val="004B349A"/>
    <w:rsid w:val="004B6AA2"/>
    <w:rsid w:val="004B75F9"/>
    <w:rsid w:val="004D0576"/>
    <w:rsid w:val="004D5551"/>
    <w:rsid w:val="004E411E"/>
    <w:rsid w:val="004E6AA0"/>
    <w:rsid w:val="00500E60"/>
    <w:rsid w:val="00524C10"/>
    <w:rsid w:val="0053772F"/>
    <w:rsid w:val="005518EA"/>
    <w:rsid w:val="00553245"/>
    <w:rsid w:val="00554892"/>
    <w:rsid w:val="005775E9"/>
    <w:rsid w:val="005806C9"/>
    <w:rsid w:val="00591958"/>
    <w:rsid w:val="00594923"/>
    <w:rsid w:val="00594F64"/>
    <w:rsid w:val="005A17B7"/>
    <w:rsid w:val="005C0747"/>
    <w:rsid w:val="005C1E0B"/>
    <w:rsid w:val="005C5162"/>
    <w:rsid w:val="005C728C"/>
    <w:rsid w:val="005E0B82"/>
    <w:rsid w:val="005E796C"/>
    <w:rsid w:val="005F1D1E"/>
    <w:rsid w:val="00603BEB"/>
    <w:rsid w:val="006154C2"/>
    <w:rsid w:val="0061775E"/>
    <w:rsid w:val="0062429F"/>
    <w:rsid w:val="00633F0E"/>
    <w:rsid w:val="00655B68"/>
    <w:rsid w:val="0066314F"/>
    <w:rsid w:val="00663530"/>
    <w:rsid w:val="00693237"/>
    <w:rsid w:val="006A0819"/>
    <w:rsid w:val="006A0B88"/>
    <w:rsid w:val="006B1D0A"/>
    <w:rsid w:val="006D49FF"/>
    <w:rsid w:val="006E3338"/>
    <w:rsid w:val="006E454C"/>
    <w:rsid w:val="006E6124"/>
    <w:rsid w:val="006F2FB5"/>
    <w:rsid w:val="00703B0D"/>
    <w:rsid w:val="00724679"/>
    <w:rsid w:val="00731554"/>
    <w:rsid w:val="007319EA"/>
    <w:rsid w:val="00741464"/>
    <w:rsid w:val="0074500D"/>
    <w:rsid w:val="00746CF9"/>
    <w:rsid w:val="007547A2"/>
    <w:rsid w:val="00754A59"/>
    <w:rsid w:val="00760566"/>
    <w:rsid w:val="007606CC"/>
    <w:rsid w:val="0077256A"/>
    <w:rsid w:val="00777727"/>
    <w:rsid w:val="0078798A"/>
    <w:rsid w:val="00793C15"/>
    <w:rsid w:val="007A0DF2"/>
    <w:rsid w:val="007A6E12"/>
    <w:rsid w:val="007C094C"/>
    <w:rsid w:val="007C74BB"/>
    <w:rsid w:val="007F07D0"/>
    <w:rsid w:val="007F0A77"/>
    <w:rsid w:val="00802423"/>
    <w:rsid w:val="008418D4"/>
    <w:rsid w:val="0084290D"/>
    <w:rsid w:val="00846106"/>
    <w:rsid w:val="00854640"/>
    <w:rsid w:val="00854B2B"/>
    <w:rsid w:val="00865C1E"/>
    <w:rsid w:val="00877D16"/>
    <w:rsid w:val="008854D0"/>
    <w:rsid w:val="00887E7E"/>
    <w:rsid w:val="008B7DC9"/>
    <w:rsid w:val="008D1785"/>
    <w:rsid w:val="008D4DA6"/>
    <w:rsid w:val="008E08B0"/>
    <w:rsid w:val="00905185"/>
    <w:rsid w:val="0091260F"/>
    <w:rsid w:val="00912EF2"/>
    <w:rsid w:val="00922E99"/>
    <w:rsid w:val="0092688F"/>
    <w:rsid w:val="009548DE"/>
    <w:rsid w:val="009552EA"/>
    <w:rsid w:val="00962EF3"/>
    <w:rsid w:val="009646FD"/>
    <w:rsid w:val="009714A3"/>
    <w:rsid w:val="00977BA9"/>
    <w:rsid w:val="00980C90"/>
    <w:rsid w:val="00996145"/>
    <w:rsid w:val="009A01DF"/>
    <w:rsid w:val="009A46B5"/>
    <w:rsid w:val="009A6074"/>
    <w:rsid w:val="009B49FD"/>
    <w:rsid w:val="009B5730"/>
    <w:rsid w:val="009B7006"/>
    <w:rsid w:val="009D3366"/>
    <w:rsid w:val="009F223D"/>
    <w:rsid w:val="00A02317"/>
    <w:rsid w:val="00A02AE4"/>
    <w:rsid w:val="00A0411B"/>
    <w:rsid w:val="00A12D05"/>
    <w:rsid w:val="00A4336D"/>
    <w:rsid w:val="00A55E64"/>
    <w:rsid w:val="00A57708"/>
    <w:rsid w:val="00A60CD1"/>
    <w:rsid w:val="00AA3B90"/>
    <w:rsid w:val="00AB73A7"/>
    <w:rsid w:val="00AC4CC7"/>
    <w:rsid w:val="00AC7D45"/>
    <w:rsid w:val="00AD5382"/>
    <w:rsid w:val="00AD75D3"/>
    <w:rsid w:val="00AD7BF0"/>
    <w:rsid w:val="00B23959"/>
    <w:rsid w:val="00B2615C"/>
    <w:rsid w:val="00B3176F"/>
    <w:rsid w:val="00B35C80"/>
    <w:rsid w:val="00B4418E"/>
    <w:rsid w:val="00B45A0B"/>
    <w:rsid w:val="00BD5477"/>
    <w:rsid w:val="00BF1421"/>
    <w:rsid w:val="00C24E10"/>
    <w:rsid w:val="00C82819"/>
    <w:rsid w:val="00C9623D"/>
    <w:rsid w:val="00CB2B8E"/>
    <w:rsid w:val="00CB454D"/>
    <w:rsid w:val="00CB4878"/>
    <w:rsid w:val="00CB6992"/>
    <w:rsid w:val="00CC1DAC"/>
    <w:rsid w:val="00CC1F41"/>
    <w:rsid w:val="00CD3949"/>
    <w:rsid w:val="00CE3AC7"/>
    <w:rsid w:val="00D006DF"/>
    <w:rsid w:val="00D10210"/>
    <w:rsid w:val="00D151F1"/>
    <w:rsid w:val="00D36877"/>
    <w:rsid w:val="00D40611"/>
    <w:rsid w:val="00D40D9F"/>
    <w:rsid w:val="00D73274"/>
    <w:rsid w:val="00D776B3"/>
    <w:rsid w:val="00DA232D"/>
    <w:rsid w:val="00DB5862"/>
    <w:rsid w:val="00DC2951"/>
    <w:rsid w:val="00DD54DD"/>
    <w:rsid w:val="00DE790D"/>
    <w:rsid w:val="00DE7DAC"/>
    <w:rsid w:val="00DF2EA0"/>
    <w:rsid w:val="00E05173"/>
    <w:rsid w:val="00E12BF1"/>
    <w:rsid w:val="00E20C4A"/>
    <w:rsid w:val="00E23E2F"/>
    <w:rsid w:val="00E30E40"/>
    <w:rsid w:val="00E403A5"/>
    <w:rsid w:val="00E403F5"/>
    <w:rsid w:val="00E57B90"/>
    <w:rsid w:val="00E67EAB"/>
    <w:rsid w:val="00E77AE8"/>
    <w:rsid w:val="00EB139F"/>
    <w:rsid w:val="00EB143B"/>
    <w:rsid w:val="00EB351E"/>
    <w:rsid w:val="00EB5EDF"/>
    <w:rsid w:val="00EB7B42"/>
    <w:rsid w:val="00EC0888"/>
    <w:rsid w:val="00EC1146"/>
    <w:rsid w:val="00EC3C1C"/>
    <w:rsid w:val="00EE5CBC"/>
    <w:rsid w:val="00EF2048"/>
    <w:rsid w:val="00EF36EB"/>
    <w:rsid w:val="00F16140"/>
    <w:rsid w:val="00F17EEA"/>
    <w:rsid w:val="00F21DDD"/>
    <w:rsid w:val="00F30B4A"/>
    <w:rsid w:val="00F32E00"/>
    <w:rsid w:val="00F35C17"/>
    <w:rsid w:val="00F3746D"/>
    <w:rsid w:val="00F407CF"/>
    <w:rsid w:val="00F45121"/>
    <w:rsid w:val="00F50016"/>
    <w:rsid w:val="00F547D2"/>
    <w:rsid w:val="00F64F7A"/>
    <w:rsid w:val="00F66E36"/>
    <w:rsid w:val="00F66F12"/>
    <w:rsid w:val="00F775C1"/>
    <w:rsid w:val="00F9420C"/>
    <w:rsid w:val="00FA2830"/>
    <w:rsid w:val="00FB489B"/>
    <w:rsid w:val="00FC047F"/>
    <w:rsid w:val="00FC2882"/>
    <w:rsid w:val="00FC4F0D"/>
    <w:rsid w:val="00FD7CD0"/>
    <w:rsid w:val="00FE12D1"/>
    <w:rsid w:val="00FF16C9"/>
    <w:rsid w:val="01535676"/>
    <w:rsid w:val="0AF50CDA"/>
    <w:rsid w:val="0FAB17BA"/>
    <w:rsid w:val="138728CA"/>
    <w:rsid w:val="140B32B7"/>
    <w:rsid w:val="1D9E221E"/>
    <w:rsid w:val="23D77358"/>
    <w:rsid w:val="28FF6589"/>
    <w:rsid w:val="2C735872"/>
    <w:rsid w:val="35062851"/>
    <w:rsid w:val="3BB24EA1"/>
    <w:rsid w:val="3C933040"/>
    <w:rsid w:val="403F3080"/>
    <w:rsid w:val="40883CB6"/>
    <w:rsid w:val="427C171D"/>
    <w:rsid w:val="4A352AD1"/>
    <w:rsid w:val="56D870B4"/>
    <w:rsid w:val="578A5712"/>
    <w:rsid w:val="58145D87"/>
    <w:rsid w:val="5B080569"/>
    <w:rsid w:val="5FDE6A6B"/>
    <w:rsid w:val="65A15087"/>
    <w:rsid w:val="6921012C"/>
    <w:rsid w:val="6BCB1DE5"/>
    <w:rsid w:val="6F2A6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ocument Map"/>
    <w:basedOn w:val="1"/>
    <w:link w:val="15"/>
    <w:unhideWhenUsed/>
    <w:qFormat/>
    <w:uiPriority w:val="99"/>
    <w:rPr>
      <w:rFonts w:ascii="宋体"/>
      <w:sz w:val="18"/>
      <w:szCs w:val="18"/>
    </w:rPr>
  </w:style>
  <w:style w:type="paragraph" w:styleId="4">
    <w:name w:val="annotation text"/>
    <w:basedOn w:val="1"/>
    <w:unhideWhenUsed/>
    <w:qFormat/>
    <w:uiPriority w:val="99"/>
    <w:pPr>
      <w:jc w:val="left"/>
    </w:pPr>
  </w:style>
  <w:style w:type="paragraph" w:styleId="5">
    <w:name w:val="Balloon Text"/>
    <w:basedOn w:val="1"/>
    <w:link w:val="13"/>
    <w:unhideWhenUsed/>
    <w:qFormat/>
    <w:uiPriority w:val="99"/>
    <w:rPr>
      <w:sz w:val="18"/>
      <w:szCs w:val="18"/>
    </w:rPr>
  </w:style>
  <w:style w:type="paragraph" w:styleId="6">
    <w:name w:val="footer"/>
    <w:basedOn w:val="1"/>
    <w:link w:val="19"/>
    <w:unhideWhenUsed/>
    <w:uiPriority w:val="99"/>
    <w:pPr>
      <w:tabs>
        <w:tab w:val="center" w:pos="4153"/>
        <w:tab w:val="right" w:pos="8306"/>
      </w:tabs>
      <w:snapToGrid w:val="0"/>
      <w:jc w:val="left"/>
    </w:pPr>
    <w:rPr>
      <w:sz w:val="18"/>
      <w:szCs w:val="18"/>
    </w:rPr>
  </w:style>
  <w:style w:type="paragraph" w:styleId="7">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Emphasis"/>
    <w:qFormat/>
    <w:uiPriority w:val="20"/>
    <w:rPr>
      <w:i/>
    </w:rPr>
  </w:style>
  <w:style w:type="character" w:styleId="12">
    <w:name w:val="Hyperlink"/>
    <w:unhideWhenUsed/>
    <w:qFormat/>
    <w:uiPriority w:val="99"/>
    <w:rPr>
      <w:color w:val="0000FF"/>
      <w:u w:val="single"/>
    </w:rPr>
  </w:style>
  <w:style w:type="character" w:customStyle="1" w:styleId="13">
    <w:name w:val="批注框文本 字符"/>
    <w:link w:val="5"/>
    <w:semiHidden/>
    <w:qFormat/>
    <w:uiPriority w:val="99"/>
    <w:rPr>
      <w:rFonts w:ascii="Times New Roman" w:hAnsi="Times New Roman"/>
      <w:kern w:val="2"/>
      <w:sz w:val="18"/>
      <w:szCs w:val="18"/>
    </w:rPr>
  </w:style>
  <w:style w:type="character" w:customStyle="1" w:styleId="14">
    <w:name w:val="apple-converted-space"/>
    <w:basedOn w:val="10"/>
    <w:qFormat/>
    <w:uiPriority w:val="0"/>
  </w:style>
  <w:style w:type="character" w:customStyle="1" w:styleId="15">
    <w:name w:val="文档结构图 字符"/>
    <w:link w:val="3"/>
    <w:semiHidden/>
    <w:qFormat/>
    <w:uiPriority w:val="99"/>
    <w:rPr>
      <w:rFonts w:ascii="宋体" w:hAnsi="Times New Roman"/>
      <w:kern w:val="2"/>
      <w:sz w:val="18"/>
      <w:szCs w:val="18"/>
    </w:rPr>
  </w:style>
  <w:style w:type="character" w:customStyle="1" w:styleId="16">
    <w:name w:val="lemmatitleh1"/>
    <w:basedOn w:val="10"/>
    <w:uiPriority w:val="0"/>
  </w:style>
  <w:style w:type="character" w:customStyle="1" w:styleId="17">
    <w:name w:val="页眉 字符"/>
    <w:link w:val="7"/>
    <w:semiHidden/>
    <w:qFormat/>
    <w:uiPriority w:val="99"/>
    <w:rPr>
      <w:rFonts w:ascii="Times New Roman" w:hAnsi="Times New Roman"/>
      <w:kern w:val="2"/>
      <w:sz w:val="18"/>
      <w:szCs w:val="18"/>
    </w:rPr>
  </w:style>
  <w:style w:type="character" w:customStyle="1" w:styleId="18">
    <w:name w:val="标题 1 字符"/>
    <w:link w:val="2"/>
    <w:qFormat/>
    <w:uiPriority w:val="9"/>
    <w:rPr>
      <w:rFonts w:ascii="宋体" w:hAnsi="宋体" w:cs="宋体"/>
      <w:b/>
      <w:bCs/>
      <w:kern w:val="36"/>
      <w:sz w:val="48"/>
      <w:szCs w:val="48"/>
    </w:rPr>
  </w:style>
  <w:style w:type="character" w:customStyle="1" w:styleId="19">
    <w:name w:val="页脚 字符"/>
    <w:link w:val="6"/>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694</Words>
  <Characters>3959</Characters>
  <Lines>32</Lines>
  <Paragraphs>9</Paragraphs>
  <TotalTime>1</TotalTime>
  <ScaleCrop>false</ScaleCrop>
  <LinksUpToDate>false</LinksUpToDate>
  <CharactersWithSpaces>4644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2020-04-03T07:02:00Z</dcterms:created>
  <dc:creator>Windows 用户</dc:creator>
  <cp:lastModifiedBy>Administrator</cp:lastModifiedBy>
  <cp:lastPrinted>2016-11-23T06:26:00Z</cp:lastPrinted>
  <dcterms:modified xsi:type="dcterms:W3CDTF">2020-04-03T09:04:00Z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