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C4A59">
      <w:pPr>
        <w:spacing w:after="156" w:afterLines="5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安徽建筑</w:t>
      </w:r>
      <w:r>
        <w:rPr>
          <w:b/>
          <w:sz w:val="30"/>
          <w:szCs w:val="30"/>
        </w:rPr>
        <w:t>大学本科学生学业预警通知书</w:t>
      </w:r>
      <w:r>
        <w:rPr>
          <w:rFonts w:hint="eastAsia"/>
          <w:b/>
          <w:sz w:val="30"/>
          <w:szCs w:val="30"/>
        </w:rPr>
        <w:t>（学生联）</w:t>
      </w:r>
    </w:p>
    <w:tbl>
      <w:tblPr>
        <w:tblStyle w:val="2"/>
        <w:tblW w:w="7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498"/>
        <w:gridCol w:w="624"/>
        <w:gridCol w:w="1266"/>
        <w:gridCol w:w="2581"/>
      </w:tblGrid>
      <w:tr w14:paraId="45796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7A688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212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DCE9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8CB08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年级专业</w:t>
            </w:r>
          </w:p>
        </w:tc>
        <w:tc>
          <w:tcPr>
            <w:tcW w:w="2581" w:type="dxa"/>
            <w:tcBorders>
              <w:left w:val="single" w:color="auto" w:sz="4" w:space="0"/>
            </w:tcBorders>
            <w:vAlign w:val="center"/>
          </w:tcPr>
          <w:p w14:paraId="4ABB7F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894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27" w:type="dxa"/>
            <w:tcBorders>
              <w:right w:val="single" w:color="auto" w:sz="4" w:space="0"/>
            </w:tcBorders>
            <w:vAlign w:val="center"/>
          </w:tcPr>
          <w:p w14:paraId="241207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22" w:type="dxa"/>
            <w:gridSpan w:val="2"/>
            <w:tcBorders>
              <w:left w:val="single" w:color="auto" w:sz="4" w:space="0"/>
            </w:tcBorders>
            <w:vAlign w:val="center"/>
          </w:tcPr>
          <w:p w14:paraId="2C8B6CD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2C775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581" w:type="dxa"/>
            <w:vAlign w:val="center"/>
          </w:tcPr>
          <w:p w14:paraId="1E0F717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8708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49" w:type="dxa"/>
            <w:gridSpan w:val="3"/>
            <w:tcBorders>
              <w:bottom w:val="double" w:color="auto" w:sz="4" w:space="0"/>
            </w:tcBorders>
            <w:vAlign w:val="center"/>
          </w:tcPr>
          <w:p w14:paraId="28D6CE7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预警开展学年学期</w:t>
            </w:r>
          </w:p>
        </w:tc>
        <w:tc>
          <w:tcPr>
            <w:tcW w:w="3847" w:type="dxa"/>
            <w:gridSpan w:val="2"/>
            <w:tcBorders>
              <w:bottom w:val="double" w:color="auto" w:sz="4" w:space="0"/>
            </w:tcBorders>
            <w:vAlign w:val="center"/>
          </w:tcPr>
          <w:p w14:paraId="0B1C69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 xml:space="preserve">0   -20   </w:t>
            </w:r>
            <w:r>
              <w:rPr>
                <w:rFonts w:hint="eastAsia" w:ascii="宋体" w:hAnsi="宋体"/>
                <w:sz w:val="24"/>
              </w:rPr>
              <w:t xml:space="preserve">学年第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学期</w:t>
            </w:r>
          </w:p>
        </w:tc>
      </w:tr>
      <w:tr w14:paraId="4CFB4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2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2179E67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预警等级</w:t>
            </w:r>
          </w:p>
        </w:tc>
        <w:tc>
          <w:tcPr>
            <w:tcW w:w="5969" w:type="dxa"/>
            <w:gridSpan w:val="4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796AD72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预警内容</w:t>
            </w:r>
          </w:p>
        </w:tc>
      </w:tr>
      <w:tr w14:paraId="72D7B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227" w:type="dxa"/>
            <w:tcBorders>
              <w:right w:val="single" w:color="auto" w:sz="4" w:space="0"/>
            </w:tcBorders>
            <w:vAlign w:val="center"/>
          </w:tcPr>
          <w:p w14:paraId="2120E3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69" w:type="dxa"/>
            <w:gridSpan w:val="4"/>
            <w:tcBorders>
              <w:left w:val="single" w:color="auto" w:sz="4" w:space="0"/>
            </w:tcBorders>
            <w:vAlign w:val="center"/>
          </w:tcPr>
          <w:p w14:paraId="05F23B6C">
            <w:pPr>
              <w:rPr>
                <w:rFonts w:ascii="宋体" w:hAnsi="宋体"/>
                <w:sz w:val="24"/>
              </w:rPr>
            </w:pPr>
          </w:p>
          <w:p w14:paraId="24C11B82">
            <w:pPr>
              <w:rPr>
                <w:rFonts w:ascii="宋体" w:hAnsi="宋体"/>
                <w:sz w:val="24"/>
              </w:rPr>
            </w:pPr>
          </w:p>
          <w:p w14:paraId="61FB7A63">
            <w:pPr>
              <w:rPr>
                <w:rFonts w:ascii="宋体" w:hAnsi="宋体"/>
                <w:sz w:val="24"/>
              </w:rPr>
            </w:pPr>
          </w:p>
          <w:p w14:paraId="6DE3D386">
            <w:pPr>
              <w:rPr>
                <w:rFonts w:ascii="宋体" w:hAnsi="宋体"/>
                <w:sz w:val="24"/>
              </w:rPr>
            </w:pPr>
          </w:p>
          <w:p w14:paraId="5E10A8B0">
            <w:pPr>
              <w:rPr>
                <w:rFonts w:ascii="宋体" w:hAnsi="宋体"/>
                <w:sz w:val="24"/>
              </w:rPr>
            </w:pPr>
          </w:p>
          <w:p w14:paraId="58A50A8D">
            <w:pPr>
              <w:rPr>
                <w:rFonts w:ascii="宋体" w:hAnsi="宋体"/>
                <w:sz w:val="24"/>
              </w:rPr>
            </w:pPr>
          </w:p>
        </w:tc>
      </w:tr>
      <w:tr w14:paraId="4B79C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7196" w:type="dxa"/>
            <w:gridSpan w:val="5"/>
            <w:tcBorders>
              <w:bottom w:val="single" w:color="auto" w:sz="4" w:space="0"/>
            </w:tcBorders>
            <w:vAlign w:val="center"/>
          </w:tcPr>
          <w:p w14:paraId="0BB84952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注：1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色预警仅通知学生本人，橙色或红色预警需同时告知学生家长；</w:t>
            </w:r>
          </w:p>
          <w:p w14:paraId="4719A943">
            <w:pPr>
              <w:ind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同时符合多个预警等级的，按最高等级进行预警。</w:t>
            </w:r>
          </w:p>
        </w:tc>
      </w:tr>
      <w:tr w14:paraId="41DA1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7196" w:type="dxa"/>
            <w:gridSpan w:val="5"/>
            <w:tcBorders>
              <w:bottom w:val="double" w:color="auto" w:sz="4" w:space="0"/>
            </w:tcBorders>
            <w:vAlign w:val="center"/>
          </w:tcPr>
          <w:p w14:paraId="75FC31C3">
            <w:pPr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根据《安徽建筑大学本科学生学业预警与帮扶管理办法（试行）》（校字〔2024〕48号）和学校本科学生学籍管理有关规定，按照学生主修专业培养方案要求和学业成绩等，对以上同学的学业情况开展预警。</w:t>
            </w:r>
          </w:p>
          <w:p w14:paraId="7763AA6F">
            <w:pPr>
              <w:spacing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在接到本通知书后，应主动联系学业导师、辅导员等，获得必要的指导和帮助。希望学生结合个人实际深入查找原因，合理制订学习计划，切实做好在校期间学业规划，努力克服学习困难，提高自主学习能力和学习质量，在规定学习年限内达成毕业要求。</w:t>
            </w:r>
          </w:p>
        </w:tc>
      </w:tr>
      <w:tr w14:paraId="5110B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27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3FF7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</w:t>
            </w:r>
          </w:p>
        </w:tc>
        <w:tc>
          <w:tcPr>
            <w:tcW w:w="1498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116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47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4DC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 w:ascii="宋体" w:hAnsi="宋体"/>
                <w:sz w:val="24"/>
              </w:rPr>
              <w:t>（公章）</w:t>
            </w:r>
          </w:p>
        </w:tc>
      </w:tr>
      <w:tr w14:paraId="5A175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736A4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学院分管领导签发</w:t>
            </w:r>
          </w:p>
        </w:tc>
        <w:tc>
          <w:tcPr>
            <w:tcW w:w="447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3A4106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46997993">
      <w:pPr>
        <w:spacing w:before="156" w:beforeLines="50"/>
        <w:ind w:right="9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学生本人签收：</w:t>
      </w:r>
    </w:p>
    <w:p w14:paraId="0CA8824E">
      <w:pPr>
        <w:spacing w:after="156" w:afterLines="5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安徽建筑</w:t>
      </w:r>
      <w:r>
        <w:rPr>
          <w:b/>
          <w:sz w:val="30"/>
          <w:szCs w:val="30"/>
        </w:rPr>
        <w:t>大学本科学生学业预警通知书</w:t>
      </w:r>
      <w:r>
        <w:rPr>
          <w:rFonts w:hint="eastAsia"/>
          <w:b/>
          <w:sz w:val="30"/>
          <w:szCs w:val="30"/>
        </w:rPr>
        <w:t>（学生联存根）</w:t>
      </w:r>
    </w:p>
    <w:tbl>
      <w:tblPr>
        <w:tblStyle w:val="2"/>
        <w:tblW w:w="7196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498"/>
        <w:gridCol w:w="624"/>
        <w:gridCol w:w="1266"/>
        <w:gridCol w:w="2581"/>
      </w:tblGrid>
      <w:tr w14:paraId="62396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12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B4F4FA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212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3634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70D4E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年级专业</w:t>
            </w:r>
          </w:p>
        </w:tc>
        <w:tc>
          <w:tcPr>
            <w:tcW w:w="2581" w:type="dxa"/>
            <w:tcBorders>
              <w:left w:val="single" w:color="auto" w:sz="4" w:space="0"/>
            </w:tcBorders>
            <w:vAlign w:val="center"/>
          </w:tcPr>
          <w:p w14:paraId="7D940F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77E4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1227" w:type="dxa"/>
            <w:tcBorders>
              <w:right w:val="single" w:color="auto" w:sz="4" w:space="0"/>
            </w:tcBorders>
            <w:vAlign w:val="center"/>
          </w:tcPr>
          <w:p w14:paraId="6C8AD6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22" w:type="dxa"/>
            <w:gridSpan w:val="2"/>
            <w:tcBorders>
              <w:left w:val="single" w:color="auto" w:sz="4" w:space="0"/>
            </w:tcBorders>
            <w:vAlign w:val="center"/>
          </w:tcPr>
          <w:p w14:paraId="5A8B6B7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069C73A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581" w:type="dxa"/>
            <w:vAlign w:val="center"/>
          </w:tcPr>
          <w:p w14:paraId="7607BCB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D609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3349" w:type="dxa"/>
            <w:gridSpan w:val="3"/>
            <w:tcBorders>
              <w:bottom w:val="double" w:color="auto" w:sz="4" w:space="0"/>
            </w:tcBorders>
            <w:vAlign w:val="center"/>
          </w:tcPr>
          <w:p w14:paraId="57FC696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预警开展学年学期</w:t>
            </w:r>
          </w:p>
        </w:tc>
        <w:tc>
          <w:tcPr>
            <w:tcW w:w="3847" w:type="dxa"/>
            <w:gridSpan w:val="2"/>
            <w:tcBorders>
              <w:bottom w:val="double" w:color="auto" w:sz="4" w:space="0"/>
            </w:tcBorders>
            <w:vAlign w:val="center"/>
          </w:tcPr>
          <w:p w14:paraId="50A3FEF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 xml:space="preserve">0   -20   </w:t>
            </w:r>
            <w:r>
              <w:rPr>
                <w:rFonts w:hint="eastAsia" w:ascii="宋体" w:hAnsi="宋体"/>
                <w:sz w:val="24"/>
              </w:rPr>
              <w:t xml:space="preserve">学年第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学期</w:t>
            </w:r>
          </w:p>
        </w:tc>
      </w:tr>
      <w:tr w14:paraId="45197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122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7C2A46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预警等级</w:t>
            </w:r>
          </w:p>
        </w:tc>
        <w:tc>
          <w:tcPr>
            <w:tcW w:w="5969" w:type="dxa"/>
            <w:gridSpan w:val="4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494DBB1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预警内容</w:t>
            </w:r>
          </w:p>
        </w:tc>
      </w:tr>
      <w:tr w14:paraId="46316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right"/>
        </w:trPr>
        <w:tc>
          <w:tcPr>
            <w:tcW w:w="1227" w:type="dxa"/>
            <w:tcBorders>
              <w:right w:val="single" w:color="auto" w:sz="4" w:space="0"/>
            </w:tcBorders>
            <w:vAlign w:val="center"/>
          </w:tcPr>
          <w:p w14:paraId="414189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69" w:type="dxa"/>
            <w:gridSpan w:val="4"/>
            <w:tcBorders>
              <w:left w:val="single" w:color="auto" w:sz="4" w:space="0"/>
            </w:tcBorders>
            <w:vAlign w:val="center"/>
          </w:tcPr>
          <w:p w14:paraId="16F6EF85">
            <w:pPr>
              <w:rPr>
                <w:rFonts w:ascii="宋体" w:hAnsi="宋体"/>
                <w:sz w:val="24"/>
              </w:rPr>
            </w:pPr>
          </w:p>
          <w:p w14:paraId="55B3E0D1">
            <w:pPr>
              <w:rPr>
                <w:rFonts w:ascii="宋体" w:hAnsi="宋体"/>
                <w:sz w:val="24"/>
              </w:rPr>
            </w:pPr>
          </w:p>
          <w:p w14:paraId="2DB161E8">
            <w:pPr>
              <w:rPr>
                <w:rFonts w:ascii="宋体" w:hAnsi="宋体"/>
                <w:sz w:val="24"/>
              </w:rPr>
            </w:pPr>
          </w:p>
          <w:p w14:paraId="539877B4">
            <w:pPr>
              <w:rPr>
                <w:rFonts w:ascii="宋体" w:hAnsi="宋体"/>
                <w:sz w:val="24"/>
              </w:rPr>
            </w:pPr>
          </w:p>
          <w:p w14:paraId="607AF633">
            <w:pPr>
              <w:rPr>
                <w:rFonts w:ascii="宋体" w:hAnsi="宋体"/>
                <w:sz w:val="24"/>
              </w:rPr>
            </w:pPr>
          </w:p>
          <w:p w14:paraId="5C47960F">
            <w:pPr>
              <w:rPr>
                <w:rFonts w:ascii="宋体" w:hAnsi="宋体"/>
                <w:sz w:val="24"/>
              </w:rPr>
            </w:pPr>
          </w:p>
        </w:tc>
      </w:tr>
      <w:tr w14:paraId="7DAC2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right"/>
        </w:trPr>
        <w:tc>
          <w:tcPr>
            <w:tcW w:w="7196" w:type="dxa"/>
            <w:gridSpan w:val="5"/>
            <w:tcBorders>
              <w:bottom w:val="single" w:color="auto" w:sz="4" w:space="0"/>
            </w:tcBorders>
            <w:vAlign w:val="center"/>
          </w:tcPr>
          <w:p w14:paraId="6F544C7A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注：1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色预警仅通知学生本人，橙色或红色预警需同时告知学生家长；</w:t>
            </w:r>
          </w:p>
          <w:p w14:paraId="642B12FC">
            <w:pPr>
              <w:ind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同时符合多个预警等级的，按最高等级进行预警。</w:t>
            </w:r>
          </w:p>
        </w:tc>
      </w:tr>
      <w:tr w14:paraId="3C480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right"/>
        </w:trPr>
        <w:tc>
          <w:tcPr>
            <w:tcW w:w="7196" w:type="dxa"/>
            <w:gridSpan w:val="5"/>
            <w:tcBorders>
              <w:bottom w:val="double" w:color="auto" w:sz="4" w:space="0"/>
            </w:tcBorders>
            <w:vAlign w:val="center"/>
          </w:tcPr>
          <w:p w14:paraId="70DE3067">
            <w:pPr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根据《安徽建筑大学本科学生学业预警与帮扶管理办法（试行）》（校字〔2024〕48号）和学校本科学生学籍管理有关规定，按照学生主修专业培养方案要求和学业成绩等，对以上同学的学业情况开展预警。</w:t>
            </w:r>
          </w:p>
          <w:p w14:paraId="61DDDE2D">
            <w:pPr>
              <w:spacing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在接到本通知书后，应主动联系学业导师、辅导员等，获得必要的指导和帮助。希望学生结合个人实际深入查找原因，合理制订学习计划，切实做好在校期间学业规划，努力克服学习困难，提高自主学习能力和学习质量，在规定学习年限内达成毕业要求。</w:t>
            </w:r>
          </w:p>
        </w:tc>
      </w:tr>
      <w:tr w14:paraId="0930C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1227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57A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</w:t>
            </w:r>
          </w:p>
        </w:tc>
        <w:tc>
          <w:tcPr>
            <w:tcW w:w="1498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D4D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47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BE241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 w:ascii="宋体" w:hAnsi="宋体"/>
                <w:sz w:val="24"/>
              </w:rPr>
              <w:t>（公章）</w:t>
            </w:r>
          </w:p>
        </w:tc>
      </w:tr>
      <w:tr w14:paraId="58BD2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27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D8A3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学院分管领导签发</w:t>
            </w:r>
          </w:p>
        </w:tc>
        <w:tc>
          <w:tcPr>
            <w:tcW w:w="447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8DF0E4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6A29A633">
      <w:pPr>
        <w:spacing w:before="156" w:beforeLines="50"/>
        <w:ind w:right="960" w:firstLine="240" w:firstLineChars="100"/>
      </w:pPr>
      <w:r>
        <w:rPr>
          <w:rFonts w:hint="eastAsia" w:ascii="宋体" w:hAnsi="宋体"/>
          <w:sz w:val="24"/>
        </w:rPr>
        <w:t>学生本人签收：</w:t>
      </w:r>
    </w:p>
    <w:sectPr>
      <w:pgSz w:w="16838" w:h="11906" w:orient="landscape"/>
      <w:pgMar w:top="1134" w:right="851" w:bottom="1134" w:left="851" w:header="851" w:footer="992" w:gutter="0"/>
      <w:cols w:equalWidth="0" w:num="2">
        <w:col w:w="7355" w:space="425"/>
        <w:col w:w="7355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1NDkxZmQ4MDNmODRiMmZlZTllYmU3NzNkMTY4ZDcifQ=="/>
  </w:docVars>
  <w:rsids>
    <w:rsidRoot w:val="005E6632"/>
    <w:rsid w:val="0002469E"/>
    <w:rsid w:val="00053467"/>
    <w:rsid w:val="00242FB9"/>
    <w:rsid w:val="00365CD1"/>
    <w:rsid w:val="003E44A1"/>
    <w:rsid w:val="004B1FDD"/>
    <w:rsid w:val="005C775C"/>
    <w:rsid w:val="005D050F"/>
    <w:rsid w:val="005E6632"/>
    <w:rsid w:val="00691CE4"/>
    <w:rsid w:val="006B513F"/>
    <w:rsid w:val="00761BF9"/>
    <w:rsid w:val="00771F8C"/>
    <w:rsid w:val="00905236"/>
    <w:rsid w:val="00983858"/>
    <w:rsid w:val="00A3558E"/>
    <w:rsid w:val="00B42612"/>
    <w:rsid w:val="00BF74D0"/>
    <w:rsid w:val="00C23343"/>
    <w:rsid w:val="00C72572"/>
    <w:rsid w:val="00CF3496"/>
    <w:rsid w:val="00CF3C5B"/>
    <w:rsid w:val="00D03B31"/>
    <w:rsid w:val="00DC0830"/>
    <w:rsid w:val="00EC6FB6"/>
    <w:rsid w:val="00ED0CAD"/>
    <w:rsid w:val="00EF7219"/>
    <w:rsid w:val="5451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680</Words>
  <Characters>698</Characters>
  <Lines>5</Lines>
  <Paragraphs>1</Paragraphs>
  <TotalTime>110</TotalTime>
  <ScaleCrop>false</ScaleCrop>
  <LinksUpToDate>false</LinksUpToDate>
  <CharactersWithSpaces>738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2016-08-15T08:05:00Z</dcterms:created>
  <dc:creator>虫虫宝贝</dc:creator>
  <cp:lastModifiedBy>李梦悦(500643)</cp:lastModifiedBy>
  <dcterms:modified xsi:type="dcterms:W3CDTF">2024-09-23T01:29:54Z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65DC0E889D1040D69CDDE1CD9DB0FDEC_12</vt:lpwstr>
  </property>
</Properties>
</file>