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2024年安徽建筑大学南北区多媒体驻点运维服务</w:t>
      </w:r>
    </w:p>
    <w:p>
      <w:pPr>
        <w:pStyle w:val="2"/>
        <w:ind w:left="0" w:leftChars="0" w:firstLine="0" w:firstLineChars="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市场调研报告</w:t>
      </w:r>
    </w:p>
    <w:p>
      <w:pPr>
        <w:rPr>
          <w:rFonts w:hint="eastAsia" w:ascii="仿宋" w:hAnsi="仿宋" w:eastAsia="仿宋" w:cs="仿宋"/>
          <w:lang w:val="en-US" w:eastAsia="zh-CN"/>
        </w:rPr>
      </w:pPr>
    </w:p>
    <w:p>
      <w:pPr>
        <w:pStyle w:val="2"/>
        <w:ind w:left="0" w:leftChars="0" w:firstLine="0" w:firstLineChars="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各单位:</w:t>
      </w:r>
    </w:p>
    <w:p>
      <w:pPr>
        <w:pStyle w:val="2"/>
        <w:ind w:left="0"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我校拟招标2024年安徽建筑大学南北区多媒体驻点运维服务，现面向你单位征询相关意见，请根据工作实际填写相关情况并提出反馈意见，最迟请于</w:t>
      </w:r>
      <w:r>
        <w:rPr>
          <w:rFonts w:hint="eastAsia" w:ascii="仿宋" w:hAnsi="仿宋" w:eastAsia="仿宋" w:cs="仿宋"/>
          <w:b w:val="0"/>
          <w:bCs w:val="0"/>
          <w:color w:val="000000" w:themeColor="text1"/>
          <w:kern w:val="2"/>
          <w:sz w:val="32"/>
          <w:szCs w:val="32"/>
          <w:highlight w:val="yellow"/>
          <w:lang w:val="en-US" w:eastAsia="zh-CN" w:bidi="ar-SA"/>
          <w14:textFill>
            <w14:solidFill>
              <w14:schemeClr w14:val="tx1"/>
            </w14:solidFill>
          </w14:textFill>
        </w:rPr>
        <w:t>2024年7月12日</w:t>
      </w:r>
      <w:r>
        <w:rPr>
          <w:rFonts w:hint="eastAsia" w:ascii="仿宋" w:hAnsi="仿宋" w:eastAsia="仿宋" w:cs="仿宋"/>
          <w:b w:val="0"/>
          <w:bCs w:val="0"/>
          <w:kern w:val="2"/>
          <w:sz w:val="32"/>
          <w:szCs w:val="32"/>
          <w:lang w:val="en-US" w:eastAsia="zh-CN" w:bidi="ar-SA"/>
        </w:rPr>
        <w:t>之前反馈至邮箱</w:t>
      </w:r>
      <w:r>
        <w:rPr>
          <w:rFonts w:hint="eastAsia" w:ascii="仿宋" w:hAnsi="仿宋" w:eastAsia="仿宋" w:cs="仿宋"/>
          <w:b w:val="0"/>
          <w:bCs w:val="0"/>
          <w:color w:val="000000" w:themeColor="text1"/>
          <w:kern w:val="2"/>
          <w:sz w:val="32"/>
          <w:szCs w:val="32"/>
          <w:highlight w:val="yellow"/>
          <w:lang w:val="en-US" w:eastAsia="zh-CN" w:bidi="ar-SA"/>
          <w14:textFill>
            <w14:solidFill>
              <w14:schemeClr w14:val="tx1"/>
            </w14:solidFill>
          </w14:textFill>
        </w:rPr>
        <w:t>chaochao3@ahjzu.edu.cn</w:t>
      </w:r>
      <w:r>
        <w:rPr>
          <w:rFonts w:hint="eastAsia" w:ascii="仿宋" w:hAnsi="仿宋" w:eastAsia="仿宋" w:cs="仿宋"/>
          <w:b w:val="0"/>
          <w:bCs w:val="0"/>
          <w:kern w:val="2"/>
          <w:sz w:val="32"/>
          <w:szCs w:val="32"/>
          <w:lang w:val="en-US" w:eastAsia="zh-CN" w:bidi="ar-SA"/>
        </w:rPr>
        <w:t>，谢谢!</w:t>
      </w:r>
    </w:p>
    <w:p>
      <w:pPr>
        <w:rPr>
          <w:rFonts w:hint="eastAsia" w:ascii="仿宋" w:hAnsi="仿宋" w:eastAsia="仿宋" w:cs="仿宋"/>
          <w:b w:val="0"/>
          <w:bCs w:val="0"/>
          <w:kern w:val="2"/>
          <w:sz w:val="32"/>
          <w:szCs w:val="32"/>
          <w:lang w:val="en-US" w:eastAsia="zh-CN" w:bidi="ar-SA"/>
        </w:rPr>
      </w:pPr>
    </w:p>
    <w:p>
      <w:pPr>
        <w:pStyle w:val="2"/>
        <w:rPr>
          <w:rFonts w:hint="eastAsia" w:ascii="仿宋" w:hAnsi="仿宋" w:eastAsia="仿宋" w:cs="仿宋"/>
          <w:lang w:val="en-US" w:eastAsia="zh-CN"/>
        </w:rPr>
      </w:pPr>
    </w:p>
    <w:p>
      <w:pPr>
        <w:jc w:val="righ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安徽建筑大学信息网络中心</w:t>
      </w:r>
    </w:p>
    <w:p>
      <w:pPr>
        <w:jc w:val="right"/>
        <w:rPr>
          <w:rFonts w:hint="eastAsia" w:ascii="宋体" w:hAnsi="宋体" w:eastAsia="宋体" w:cs="宋体"/>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2024年7月9日</w:t>
      </w:r>
      <w:r>
        <w:rPr>
          <w:rFonts w:hint="eastAsia" w:ascii="宋体" w:hAnsi="宋体" w:eastAsia="宋体" w:cs="宋体"/>
          <w:b w:val="0"/>
          <w:bCs w:val="0"/>
          <w:kern w:val="2"/>
          <w:sz w:val="32"/>
          <w:szCs w:val="32"/>
          <w:lang w:val="en-US" w:eastAsia="zh-CN" w:bidi="ar-SA"/>
        </w:rPr>
        <w:br w:type="page"/>
      </w:r>
    </w:p>
    <w:p>
      <w:pPr>
        <w:pStyle w:val="2"/>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单位名称（公章）：</w:t>
      </w:r>
    </w:p>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联系人及联系方式：</w:t>
      </w:r>
    </w:p>
    <w:p>
      <w:pPr>
        <w:rPr>
          <w:rFonts w:hint="eastAsia" w:ascii="黑体" w:hAnsi="黑体" w:eastAsia="黑体" w:cs="仿宋_GB2312"/>
          <w:kern w:val="2"/>
          <w:sz w:val="32"/>
          <w:szCs w:val="32"/>
          <w:lang w:val="en-US" w:eastAsia="zh-CN" w:bidi="ar-SA"/>
        </w:rPr>
      </w:pPr>
    </w:p>
    <w:p>
      <w:pPr>
        <w:pStyle w:val="2"/>
        <w:numPr>
          <w:ilvl w:val="0"/>
          <w:numId w:val="0"/>
        </w:numPr>
        <w:ind w:left="420" w:leftChars="20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一、项目名称：</w:t>
      </w:r>
      <w:r>
        <w:rPr>
          <w:rFonts w:hint="eastAsia" w:ascii="仿宋" w:hAnsi="仿宋" w:eastAsia="仿宋" w:cs="仿宋"/>
          <w:kern w:val="2"/>
          <w:sz w:val="28"/>
          <w:szCs w:val="28"/>
          <w:lang w:val="en-US" w:eastAsia="zh-CN" w:bidi="ar-SA"/>
        </w:rPr>
        <w:t>2024年安徽建筑大学南北区多媒体驻点运维服务</w:t>
      </w:r>
      <w:r>
        <w:rPr>
          <w:rFonts w:hint="eastAsia" w:ascii="仿宋" w:hAnsi="仿宋" w:eastAsia="仿宋" w:cs="仿宋"/>
          <w:b/>
          <w:bCs/>
          <w:kern w:val="2"/>
          <w:sz w:val="28"/>
          <w:szCs w:val="28"/>
          <w:lang w:val="en-US" w:eastAsia="zh-CN" w:bidi="ar-SA"/>
        </w:rPr>
        <w:t>二、预算金额：82</w:t>
      </w:r>
      <w:r>
        <w:rPr>
          <w:rFonts w:hint="eastAsia" w:ascii="仿宋" w:hAnsi="仿宋" w:eastAsia="仿宋" w:cs="仿宋"/>
          <w:b w:val="0"/>
          <w:bCs w:val="0"/>
          <w:kern w:val="2"/>
          <w:sz w:val="28"/>
          <w:szCs w:val="28"/>
          <w:lang w:val="en-US" w:eastAsia="zh-CN" w:bidi="ar-SA"/>
        </w:rPr>
        <w:t>万元</w:t>
      </w:r>
    </w:p>
    <w:p>
      <w:pPr>
        <w:pStyle w:val="2"/>
        <w:numPr>
          <w:ilvl w:val="0"/>
          <w:numId w:val="0"/>
        </w:numPr>
        <w:ind w:left="420" w:leftChars="20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三、项目概况：</w:t>
      </w:r>
    </w:p>
    <w:p>
      <w:pPr>
        <w:pStyle w:val="2"/>
        <w:numPr>
          <w:ilvl w:val="0"/>
          <w:numId w:val="0"/>
        </w:numPr>
        <w:ind w:left="420" w:leftChars="20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安徽建筑大学南北校区多媒体教室驻点运维服务将于2024年8月31日服务期满，为保障教学多媒体系统及设备的稳定运行，确保教学秩序平稳，采购人拟对多媒体教室进行驻点运维服务采购。成交供应商需提供7名专业技术人员进行为期一年的驻校运维服务（含全部设备、软件的巡检，多媒体教室的日常维护管理和教学服务等，提供运维服务管理工具软件）。</w:t>
      </w:r>
    </w:p>
    <w:p>
      <w:pPr>
        <w:pStyle w:val="2"/>
        <w:numPr>
          <w:ilvl w:val="0"/>
          <w:numId w:val="0"/>
        </w:numPr>
        <w:ind w:left="420" w:leftChars="20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投标人必须按照安徽建筑大学多媒体教室现有管理方式及管理技术手段进行运维服务，现有多媒体教室分多期建设完成，现有投影机、网络中控、音响扩声、计算机等设备均为多种不同品牌设备，日常多媒体教室管理现阶段通过统一的管理平台进行远程管理，管理平台能够兼容奕星、万讯、控捷、竞业达等不同网络中控的统一接入，并实现与学校现有数据中台的数据对接（包含调停课表和教室预约表），能够根据学校教务课表进行数据联动，完成多媒体教室的自动开关机；管理平台必须具备督导巡课功能，实现教室视频画面和计算机桌面的远程监管功能，并实时自动同步课表信息，实现课程信息数据的自动同步，并可查看课程名称、课程编号、教师名称、教师所在学院、教室名称、上课班级及上课人数等课程信息。管理平台必须完成本地化部署，同时实现电脑端、手机端等多种管理方式；管理平台必须完成南校区与北校区的数据同步，并且能够根据南北校区不同的管理权限进行管理员账号的权限划分，完成南北校区统一平台管理，确保多媒体教室管理的集中化。</w:t>
      </w:r>
    </w:p>
    <w:p>
      <w:pPr>
        <w:pStyle w:val="2"/>
        <w:numPr>
          <w:ilvl w:val="0"/>
          <w:numId w:val="0"/>
        </w:numPr>
        <w:ind w:left="420" w:leftChars="20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四、付款方式</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合同到期且经采购人考核合格并扣除违约金（如 有）后一次性付清合同款。</w:t>
      </w:r>
    </w:p>
    <w:p>
      <w:pPr>
        <w:pStyle w:val="2"/>
        <w:numPr>
          <w:ilvl w:val="0"/>
          <w:numId w:val="0"/>
        </w:numPr>
        <w:ind w:left="420" w:leftChars="200" w:firstLine="0" w:firstLineChars="0"/>
        <w:rPr>
          <w:rFonts w:hint="default"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五、服务范围及要求</w:t>
      </w:r>
    </w:p>
    <w:p>
      <w:pPr>
        <w:spacing w:line="560" w:lineRule="exact"/>
        <w:ind w:firstLine="482" w:firstLineChars="200"/>
        <w:rPr>
          <w:rFonts w:hint="eastAsia" w:ascii="仿宋" w:hAnsi="仿宋" w:eastAsia="仿宋" w:cs="仿宋"/>
          <w:sz w:val="28"/>
          <w:szCs w:val="28"/>
          <w:lang w:val="en-US" w:eastAsia="zh-CN"/>
        </w:rPr>
      </w:pPr>
      <w:r>
        <w:rPr>
          <w:rFonts w:hint="eastAsia" w:ascii="宋体" w:hAnsi="宋体" w:eastAsia="宋体"/>
          <w:b/>
          <w:bCs w:val="0"/>
          <w:sz w:val="24"/>
          <w:szCs w:val="18"/>
          <w:highlight w:val="none"/>
          <w:lang w:eastAsia="zh-CN"/>
        </w:rPr>
        <w:t>（</w:t>
      </w:r>
      <w:r>
        <w:rPr>
          <w:rFonts w:hint="eastAsia" w:ascii="宋体" w:hAnsi="宋体" w:eastAsia="宋体"/>
          <w:b/>
          <w:bCs w:val="0"/>
          <w:sz w:val="24"/>
          <w:szCs w:val="18"/>
          <w:highlight w:val="none"/>
          <w:lang w:val="en-US" w:eastAsia="zh-CN"/>
        </w:rPr>
        <w:t>一</w:t>
      </w:r>
      <w:r>
        <w:rPr>
          <w:rFonts w:hint="eastAsia" w:ascii="宋体" w:hAnsi="宋体" w:eastAsia="宋体"/>
          <w:b/>
          <w:bCs w:val="0"/>
          <w:sz w:val="24"/>
          <w:szCs w:val="18"/>
          <w:highlight w:val="none"/>
          <w:lang w:eastAsia="zh-CN"/>
        </w:rPr>
        <w:t>）</w:t>
      </w:r>
      <w:r>
        <w:rPr>
          <w:rFonts w:hint="eastAsia" w:ascii="仿宋" w:hAnsi="仿宋" w:eastAsia="仿宋" w:cs="仿宋"/>
          <w:sz w:val="28"/>
          <w:szCs w:val="28"/>
          <w:lang w:val="en-US" w:eastAsia="zh-CN"/>
        </w:rPr>
        <w:t>服务范围：</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1、安徽建筑大学南校区多媒体教室共计121间，多媒体设备控制中心1间进行运维服务；</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2、安徽建筑大学南校区31间标准化考场运维服务；</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3、安徽建筑大学南校区实验综合楼信息发布系统及会议室等进行运维服务；</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4、安徽建筑大学北校区多媒体教室共计70间，多媒体设备控制中心1间进行运维服务；</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具体设备现状以及教室内外环境等情况，供应商可自行到现场进行了解。若供应商因未及时勘察现场而导致报价缺项、漏项，造成成交后无法兑现服务，成交供应商自行承担一切后果。</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（二）服务总体要求：</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2.1、服务工作要求及内容</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（1）采购人应提供功放、计算机、投影机、中控等主要设备各5台作为备用机，多媒体教室设备出现故障后用于应急更换，多媒体教室设备出现故障应及时处理。</w:t>
      </w:r>
    </w:p>
    <w:p>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在合同期内，成交供应商提供学校191间多媒体教室教学设备、2间多媒体控制中心、31间标准化考场、实验综合楼信息发布系统及会议室进行驻点运维服务工作，运维其间因设备故障需进行维修、零配件更换、投影机清洗及投影灯泡更换等，由此产生的费用由成交供应商自行承担。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 合同期内，成交供应商工作人员薪酬待遇、日常办公费用、办公器材均由成交供应商自行承担。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 成交供应商在合同期内不能以任何理由（如国家汇率的变化、国家人员工资的增加、物价上涨、税收增加等）要求增加服务费用。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 成交供应商在合同期内不得转包或者分包服务。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 由采购人为成交供应商提供办公场所。成交供应商应遵守学校相关管理规定，办公用房内不得住家、做饭、饮酒等，保持美观整洁。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(8) 在合同期内，本项目涉及的所有资产包括由成交供应商维修更换的所有设备、配件和耗材等都归学校所有。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成交供应商应自觉遵守校方的各项管理规定。</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2.2、外包服务需求</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次项目所涉及的网络中控产品有竞业达JYD-MNC9600-C、万讯IC1000、奕星YX3300、控捷KJ-2000为方便多媒体教室集中管理，要求成交供应商能够对以上所有设备进行统一管理，并能配备本地化部署的统一管理平台，实现与学校现有数据中台的数据对接（包含调停课表和教室预约表），能够根据学校教务课表进行数据联动，完成多媒体教室设备的自动开关机。</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2.3、运维服务管理平台</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2.3.1集中管控平台</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此次项目中驻点运维单位需提供集中控制管理平台软件一套，此平台需本地化部署于学校内部，不接受云平台。集中控制管理平台需支持对于安徽建筑大学北校区多媒体教室和智慧教室网络中控系统的集中化管理，能够兼容万讯、竞业达、控捷、奕星等多品牌中控设备的统一管理，实施过程中涉及到的相关费用由供应商自行承担；</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集中控制管理平台按学校要求对接学校数据中心的课表（包含调停课表和教室预约表）和一卡通数据，实时自动同步课表信息，实现根据课表提前自动开启教室内各系统设备，实现教室远程控制，教师能通过校园一卡通IC卡或是虚拟卡自助开启关闭教室设备，实施过程中涉及到的相关费用由供应商自行承担；</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集中控制管理平台实现安徽建筑大学北校区所有多媒体教室与智慧教室的督导巡课功能，实现教室视频画面和计算机桌面的远程监管功能，并实时自动同步课表信息，实现课程信息数据的自动同步，并可查看课程名称、课程编号、教师名称、教师所在学院、教室名称、上课班级及上课人数等课程信息，实施过程中涉及到的相关费用由供应商自行承担。</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（4）数据备份与恢复：多媒体集中管控平台需要定期备份所有的数据，以便在发生故障或数据丢失时能够快速恢复数据。备份数据的频率和保存时间应该根据数据的重要程度和使用频率进行合理安排。</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（5）数据迁移与升级：集中控制管理平台的数据需要在升级或迁移时进行顺利转移。这需要平台提供相应的工具和方便的操作界面，保证在数据迁移和升级过程中数据不会出现任何丢失或损坏。</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数据一致性：集中控制管理平台对媒体文件进行分类和管理，不同的文件之间需要保持一致性。当进行文件复制、移动、删除等操作时，要保证数据的一致性和完整性，尤其是在多个用户同时操作时更需要注意。</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（7）数据安全性：集中控制管理平台的数据需要保证安全性，防止数据被攻击者窃取、篡改或破坏。平台需要提供安全的登录方式和访问控制，以及加密和权限控制等技术手段来保证数据安全。</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2.3.2系统运维工具</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利用学校现有的相关系统和视频监控设施，对多媒体教室进行全程监控，早于师生发现问题，并处理问题；推进运维工作的电子化流程管理，实现运维工作服务流程全面规范化和标准化，提高工作效率。</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维服务期内提供用于日常运维工作的管理工具，运维管理工具集服务管理、工单管理、资产管理、大屏管理、知识库管理、报表管理等功能模块，对接微信平台，实现故障报修的迅捷、高效以及网络运维的快速、主动。</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（1）运维服务管理平台需支持与本校统一身份认证平台对接接口。</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（2）系统架构：服务器应基于Linux平台；软件采用三层结构，要求采用开放架构及标准的“表现层－逻辑层－数据层”三层次结构，平台的后台系统架构应采用纯B/S模式。</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（3）系统兼容性：移动端应采用H5技术开发，支持主流手机浏览器全兼容，可与其他系统对接。</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供应商需在中标公示期内完成运维服务管理平台的部署，并实现运维服务管理平台的所有功能，满足采购人的使用需求，同时能够完成对于前期多媒体教室运维数据的迁移，保障采购人运维数据的安全性和完整性。</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3.2.1系统运维工具具体功能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（1）资产管理：</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①支持设备基本信息的维护管理功能；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②支持设备的分类统计功能，基于项目、设备类别、年份的基础统计分析功能；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③支持设备的二维码标签生成功能，支持Web端实现的标签批量生成与打印功能；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④支持设备维保信息管理功能；支持维保/质保期即将逾期的提醒功能；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⑤支持绘制设备与设备模块之间的连接关系图；</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⑥支持设备生命周期（变更）记录功能；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⑦支持批量复制资产功能；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⑧支持IP池管理功能，包括IP及端口的使用情况；</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⑨支持数字证书管理，实现数字证书到期提醒和延期功能。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⑩支持相关附件文档上传和文档管理功能,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⑪支持实景图导入与导出功能，支持在web端直接对实景图进行标记，</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⑫支持项目，合同与资产之间关系的深度钻取。</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单管理：管理用户端的服务请求，从服务报修开始到解决问题的全部过程，提供服务台、运维人员、客户方的三方不同权限管理界面，支持报修、受理并创建单号、转派、接单、处理、跟踪、查询等功能流程，并可手动或自动生成工单、并按照紧急程度来处理。</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①支持监测设备推送故障信息并自动创建工单以及二维码扫码报修；</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②支持自定义表单功能；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③支持自定义流程功能，支持工单转派、挂起功能以及多人协作处理；</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④支持服务工单事件的响应级别和处理时间的管理，对没有接单或者处理时间快要逾期的事件，在小程序、公众号、APP、手机语音等功能出要做出提示。</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⑤支持工单处理通知用户进度，并在完成后通知用户评价功能，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⑥支持工单转化成知识库的功能。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⑦查询服务事件可以自动关联此事件所包含的设备信息、设备位置、处理人员等信息，设备信息包含曾经涉及的服务事件信息。</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运维巡检管理：可以按照区域划分、楼层划分等方式，定期或自定义的方式分别派送服务单给到对应区域负责人的账号，可由手机APP、微信小程序、微信公众号、网页浏览器等方式查看。</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①支持设定运维巡检内容，运维巡检相关参数，并依据设定派发运维巡检任务；</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②提供微信，短信，语音等提醒方式；</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③支持对运维状态的统计分析，运维任务结束提供报告。</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（4）变更管理：支持不同的变更应用不同的流程模板，支持多人审核，预审核通过。</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（5）报表管理：</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①支持可自定义的对IT资产分类、使用年限、分布维保到期、过保预警统计分析、各类设备的使用阈值定义监测；</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②支持对报修时间段、常见报修位置分布、报修故障/处理情况对比、故障设备品牌、厂商排名等统计分析；</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③支持运维人员服务评估排名、运维人员接单量排名等统计分析。支持统计分析生成报表。</w:t>
      </w:r>
    </w:p>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（三）人员配备及服务要求</w:t>
      </w:r>
    </w:p>
    <w:p>
      <w:pPr>
        <w:adjustRightInd w:val="0"/>
        <w:snapToGrid w:val="0"/>
        <w:spacing w:line="56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1.投标人根据必须为本项目配备相关专业人员</w:t>
      </w:r>
      <w:r>
        <w:rPr>
          <w:rFonts w:hint="eastAsia" w:ascii="仿宋" w:hAnsi="仿宋" w:eastAsia="仿宋" w:cs="仿宋"/>
          <w:b/>
          <w:bCs/>
          <w:sz w:val="28"/>
          <w:szCs w:val="28"/>
        </w:rPr>
        <w:t>（基本配备人员不少于</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人）：</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15"/>
        <w:gridCol w:w="1265"/>
        <w:gridCol w:w="1691"/>
        <w:gridCol w:w="1364"/>
        <w:gridCol w:w="1067"/>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92" w:type="pct"/>
            <w:noWrap w:val="0"/>
            <w:vAlign w:val="center"/>
          </w:tcPr>
          <w:p>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序号</w:t>
            </w:r>
          </w:p>
        </w:tc>
        <w:tc>
          <w:tcPr>
            <w:tcW w:w="830" w:type="pct"/>
            <w:noWrap w:val="0"/>
            <w:vAlign w:val="center"/>
          </w:tcPr>
          <w:p>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职务</w:t>
            </w:r>
          </w:p>
        </w:tc>
        <w:tc>
          <w:tcPr>
            <w:tcW w:w="742" w:type="pct"/>
            <w:noWrap w:val="0"/>
            <w:vAlign w:val="center"/>
          </w:tcPr>
          <w:p>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基本配备人数</w:t>
            </w:r>
          </w:p>
        </w:tc>
        <w:tc>
          <w:tcPr>
            <w:tcW w:w="992" w:type="pct"/>
            <w:noWrap w:val="0"/>
            <w:vAlign w:val="center"/>
          </w:tcPr>
          <w:p>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注册证书</w:t>
            </w:r>
          </w:p>
        </w:tc>
        <w:tc>
          <w:tcPr>
            <w:tcW w:w="800" w:type="pct"/>
            <w:noWrap w:val="0"/>
            <w:vAlign w:val="center"/>
          </w:tcPr>
          <w:p>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专业</w:t>
            </w:r>
          </w:p>
        </w:tc>
        <w:tc>
          <w:tcPr>
            <w:tcW w:w="626" w:type="pct"/>
            <w:noWrap w:val="0"/>
            <w:vAlign w:val="center"/>
          </w:tcPr>
          <w:p>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等级</w:t>
            </w:r>
          </w:p>
        </w:tc>
        <w:tc>
          <w:tcPr>
            <w:tcW w:w="616" w:type="pct"/>
            <w:noWrap w:val="0"/>
            <w:vAlign w:val="center"/>
          </w:tcPr>
          <w:p>
            <w:pPr>
              <w:adjustRightInd w:val="0"/>
              <w:snapToGrid w:val="0"/>
              <w:spacing w:line="560" w:lineRule="exact"/>
              <w:jc w:val="center"/>
              <w:rPr>
                <w:rFonts w:hint="eastAsia" w:ascii="仿宋" w:hAnsi="仿宋" w:eastAsia="仿宋" w:cs="方正仿宋_GB2312"/>
                <w:b/>
                <w:bCs/>
                <w:sz w:val="24"/>
                <w:szCs w:val="24"/>
                <w:lang w:val="zh-CN"/>
              </w:rPr>
            </w:pPr>
            <w:r>
              <w:rPr>
                <w:rFonts w:hint="eastAsia" w:ascii="仿宋" w:hAnsi="仿宋" w:eastAsia="仿宋" w:cs="方正仿宋_GB2312"/>
                <w:b/>
                <w:bCs/>
                <w:sz w:val="24"/>
                <w:szCs w:val="24"/>
                <w:lang w:val="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92" w:type="pct"/>
            <w:noWrap w:val="0"/>
            <w:vAlign w:val="center"/>
          </w:tcPr>
          <w:p>
            <w:pPr>
              <w:adjustRightInd w:val="0"/>
              <w:snapToGrid w:val="0"/>
              <w:spacing w:line="560" w:lineRule="exact"/>
              <w:jc w:val="center"/>
              <w:rPr>
                <w:rFonts w:hint="eastAsia" w:ascii="仿宋" w:hAnsi="仿宋" w:eastAsia="仿宋" w:cs="方正仿宋_GB2312"/>
                <w:sz w:val="24"/>
                <w:szCs w:val="24"/>
              </w:rPr>
            </w:pPr>
            <w:r>
              <w:rPr>
                <w:rFonts w:hint="eastAsia" w:ascii="仿宋" w:hAnsi="仿宋" w:eastAsia="仿宋" w:cs="方正仿宋_GB2312"/>
                <w:sz w:val="24"/>
                <w:szCs w:val="24"/>
              </w:rPr>
              <w:t>1</w:t>
            </w:r>
          </w:p>
        </w:tc>
        <w:tc>
          <w:tcPr>
            <w:tcW w:w="830" w:type="pct"/>
            <w:noWrap w:val="0"/>
            <w:vAlign w:val="center"/>
          </w:tcPr>
          <w:p>
            <w:pPr>
              <w:adjustRightInd w:val="0"/>
              <w:snapToGrid w:val="0"/>
              <w:spacing w:line="560" w:lineRule="exact"/>
              <w:jc w:val="center"/>
              <w:rPr>
                <w:rFonts w:hint="eastAsia" w:ascii="仿宋" w:hAnsi="仿宋" w:eastAsia="仿宋" w:cs="仿宋"/>
                <w:sz w:val="24"/>
                <w:szCs w:val="24"/>
                <w:lang w:val="en-US" w:eastAsia="zh-CN"/>
              </w:rPr>
            </w:pPr>
          </w:p>
        </w:tc>
        <w:tc>
          <w:tcPr>
            <w:tcW w:w="742" w:type="pct"/>
            <w:noWrap w:val="0"/>
            <w:vAlign w:val="center"/>
          </w:tcPr>
          <w:p>
            <w:pPr>
              <w:adjustRightInd w:val="0"/>
              <w:snapToGrid w:val="0"/>
              <w:spacing w:line="560" w:lineRule="exact"/>
              <w:jc w:val="center"/>
              <w:rPr>
                <w:rFonts w:hint="eastAsia" w:ascii="仿宋" w:hAnsi="仿宋" w:eastAsia="仿宋" w:cs="仿宋"/>
                <w:sz w:val="24"/>
                <w:szCs w:val="24"/>
                <w:lang w:val="en-US" w:eastAsia="zh-CN"/>
              </w:rPr>
            </w:pPr>
          </w:p>
        </w:tc>
        <w:tc>
          <w:tcPr>
            <w:tcW w:w="992" w:type="pct"/>
            <w:noWrap w:val="0"/>
            <w:vAlign w:val="center"/>
          </w:tcPr>
          <w:p>
            <w:pPr>
              <w:adjustRightInd w:val="0"/>
              <w:snapToGrid w:val="0"/>
              <w:spacing w:line="560" w:lineRule="exact"/>
              <w:jc w:val="center"/>
              <w:rPr>
                <w:rFonts w:hint="eastAsia" w:ascii="仿宋" w:hAnsi="仿宋" w:eastAsia="仿宋" w:cs="仿宋"/>
                <w:sz w:val="24"/>
                <w:szCs w:val="24"/>
                <w:lang w:val="zh-CN"/>
              </w:rPr>
            </w:pPr>
          </w:p>
        </w:tc>
        <w:tc>
          <w:tcPr>
            <w:tcW w:w="800" w:type="pct"/>
            <w:noWrap w:val="0"/>
            <w:vAlign w:val="center"/>
          </w:tcPr>
          <w:p>
            <w:pPr>
              <w:adjustRightInd w:val="0"/>
              <w:snapToGrid w:val="0"/>
              <w:spacing w:line="560" w:lineRule="exact"/>
              <w:jc w:val="center"/>
              <w:rPr>
                <w:rFonts w:hint="eastAsia" w:ascii="仿宋" w:hAnsi="仿宋" w:eastAsia="仿宋" w:cs="仿宋"/>
                <w:sz w:val="24"/>
                <w:szCs w:val="24"/>
                <w:lang w:val="zh-CN"/>
              </w:rPr>
            </w:pPr>
          </w:p>
        </w:tc>
        <w:tc>
          <w:tcPr>
            <w:tcW w:w="626" w:type="pct"/>
            <w:noWrap w:val="0"/>
            <w:vAlign w:val="center"/>
          </w:tcPr>
          <w:p>
            <w:pPr>
              <w:adjustRightInd w:val="0"/>
              <w:snapToGrid w:val="0"/>
              <w:spacing w:line="560" w:lineRule="exact"/>
              <w:jc w:val="center"/>
              <w:rPr>
                <w:rFonts w:hint="default" w:ascii="仿宋" w:hAnsi="仿宋" w:eastAsia="仿宋" w:cs="方正仿宋_GB2312"/>
                <w:sz w:val="24"/>
                <w:szCs w:val="24"/>
                <w:lang w:val="en-US" w:eastAsia="zh-CN"/>
              </w:rPr>
            </w:pPr>
          </w:p>
        </w:tc>
        <w:tc>
          <w:tcPr>
            <w:tcW w:w="616" w:type="pct"/>
            <w:noWrap w:val="0"/>
            <w:vAlign w:val="center"/>
          </w:tcPr>
          <w:p>
            <w:pPr>
              <w:adjustRightInd w:val="0"/>
              <w:snapToGrid w:val="0"/>
              <w:spacing w:line="560" w:lineRule="exact"/>
              <w:jc w:val="center"/>
              <w:rPr>
                <w:rFonts w:hint="eastAsia" w:ascii="仿宋" w:hAnsi="仿宋" w:eastAsia="仿宋" w:cs="方正仿宋_GB2312"/>
                <w:sz w:val="24"/>
                <w:szCs w:val="24"/>
              </w:rPr>
            </w:pPr>
            <w:r>
              <w:rPr>
                <w:rFonts w:hint="eastAsia" w:ascii="仿宋" w:hAnsi="仿宋" w:eastAsia="仿宋" w:cs="方正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92" w:type="pct"/>
            <w:noWrap w:val="0"/>
            <w:vAlign w:val="center"/>
          </w:tcPr>
          <w:p>
            <w:pPr>
              <w:adjustRightInd w:val="0"/>
              <w:snapToGrid w:val="0"/>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30" w:type="pct"/>
            <w:noWrap w:val="0"/>
            <w:vAlign w:val="center"/>
          </w:tcPr>
          <w:p>
            <w:pPr>
              <w:adjustRightInd w:val="0"/>
              <w:snapToGrid w:val="0"/>
              <w:spacing w:line="560" w:lineRule="exact"/>
              <w:jc w:val="center"/>
              <w:rPr>
                <w:rFonts w:hint="default" w:ascii="仿宋" w:hAnsi="仿宋" w:eastAsia="仿宋" w:cs="仿宋"/>
                <w:sz w:val="24"/>
                <w:szCs w:val="24"/>
                <w:lang w:val="en-US" w:eastAsia="zh-CN"/>
              </w:rPr>
            </w:pPr>
          </w:p>
        </w:tc>
        <w:tc>
          <w:tcPr>
            <w:tcW w:w="742" w:type="pct"/>
            <w:noWrap w:val="0"/>
            <w:vAlign w:val="center"/>
          </w:tcPr>
          <w:p>
            <w:pPr>
              <w:adjustRightInd w:val="0"/>
              <w:snapToGrid w:val="0"/>
              <w:spacing w:line="560" w:lineRule="exact"/>
              <w:jc w:val="center"/>
              <w:rPr>
                <w:rFonts w:hint="default" w:ascii="仿宋" w:hAnsi="仿宋" w:eastAsia="仿宋" w:cs="仿宋"/>
                <w:sz w:val="24"/>
                <w:szCs w:val="24"/>
                <w:lang w:val="en-US" w:eastAsia="zh-CN"/>
              </w:rPr>
            </w:pPr>
          </w:p>
        </w:tc>
        <w:tc>
          <w:tcPr>
            <w:tcW w:w="992" w:type="pct"/>
            <w:noWrap w:val="0"/>
            <w:vAlign w:val="center"/>
          </w:tcPr>
          <w:p>
            <w:pPr>
              <w:adjustRightInd w:val="0"/>
              <w:snapToGrid w:val="0"/>
              <w:spacing w:line="560" w:lineRule="exact"/>
              <w:jc w:val="center"/>
              <w:rPr>
                <w:rFonts w:hint="eastAsia" w:ascii="仿宋" w:hAnsi="仿宋" w:eastAsia="仿宋" w:cs="仿宋"/>
                <w:sz w:val="24"/>
                <w:szCs w:val="24"/>
                <w:lang w:val="zh-CN" w:eastAsia="zh-CN"/>
              </w:rPr>
            </w:pPr>
          </w:p>
        </w:tc>
        <w:tc>
          <w:tcPr>
            <w:tcW w:w="800" w:type="pct"/>
            <w:noWrap w:val="0"/>
            <w:vAlign w:val="center"/>
          </w:tcPr>
          <w:p>
            <w:pPr>
              <w:adjustRightInd w:val="0"/>
              <w:snapToGrid w:val="0"/>
              <w:spacing w:line="560" w:lineRule="exact"/>
              <w:jc w:val="center"/>
              <w:rPr>
                <w:rFonts w:hint="eastAsia" w:ascii="仿宋" w:hAnsi="仿宋" w:eastAsia="仿宋" w:cs="仿宋"/>
                <w:sz w:val="24"/>
                <w:szCs w:val="24"/>
                <w:lang w:val="zh-CN" w:eastAsia="zh-CN"/>
              </w:rPr>
            </w:pPr>
          </w:p>
        </w:tc>
        <w:tc>
          <w:tcPr>
            <w:tcW w:w="626" w:type="pct"/>
            <w:noWrap w:val="0"/>
            <w:vAlign w:val="center"/>
          </w:tcPr>
          <w:p>
            <w:pPr>
              <w:adjustRightInd w:val="0"/>
              <w:snapToGrid w:val="0"/>
              <w:spacing w:line="560" w:lineRule="exact"/>
              <w:jc w:val="center"/>
              <w:rPr>
                <w:rFonts w:hint="eastAsia" w:ascii="仿宋" w:hAnsi="仿宋" w:eastAsia="仿宋" w:cs="仿宋"/>
                <w:sz w:val="24"/>
                <w:szCs w:val="24"/>
                <w:lang w:val="zh-CN" w:eastAsia="zh-CN"/>
              </w:rPr>
            </w:pPr>
          </w:p>
        </w:tc>
        <w:tc>
          <w:tcPr>
            <w:tcW w:w="616" w:type="pct"/>
            <w:noWrap w:val="0"/>
            <w:vAlign w:val="center"/>
          </w:tcPr>
          <w:p>
            <w:pPr>
              <w:adjustRightInd w:val="0"/>
              <w:snapToGrid w:val="0"/>
              <w:spacing w:line="56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2" w:type="pct"/>
            <w:noWrap w:val="0"/>
            <w:vAlign w:val="center"/>
          </w:tcPr>
          <w:p>
            <w:pPr>
              <w:adjustRightInd w:val="0"/>
              <w:snapToGrid w:val="0"/>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30" w:type="pct"/>
            <w:noWrap w:val="0"/>
            <w:vAlign w:val="center"/>
          </w:tcPr>
          <w:p>
            <w:pPr>
              <w:adjustRightInd w:val="0"/>
              <w:snapToGrid w:val="0"/>
              <w:spacing w:line="560" w:lineRule="exact"/>
              <w:jc w:val="center"/>
              <w:rPr>
                <w:rFonts w:hint="default" w:ascii="仿宋" w:hAnsi="仿宋" w:eastAsia="仿宋" w:cs="仿宋"/>
                <w:sz w:val="24"/>
                <w:szCs w:val="24"/>
                <w:lang w:val="en-US" w:eastAsia="zh-CN"/>
              </w:rPr>
            </w:pPr>
          </w:p>
        </w:tc>
        <w:tc>
          <w:tcPr>
            <w:tcW w:w="742" w:type="pct"/>
            <w:noWrap w:val="0"/>
            <w:vAlign w:val="center"/>
          </w:tcPr>
          <w:p>
            <w:pPr>
              <w:adjustRightInd w:val="0"/>
              <w:snapToGrid w:val="0"/>
              <w:spacing w:line="560" w:lineRule="exact"/>
              <w:jc w:val="center"/>
              <w:rPr>
                <w:rFonts w:hint="eastAsia" w:ascii="仿宋" w:hAnsi="仿宋" w:eastAsia="仿宋" w:cs="仿宋"/>
                <w:sz w:val="24"/>
                <w:szCs w:val="24"/>
                <w:lang w:val="en-US" w:eastAsia="zh-CN"/>
              </w:rPr>
            </w:pPr>
          </w:p>
        </w:tc>
        <w:tc>
          <w:tcPr>
            <w:tcW w:w="992" w:type="pct"/>
            <w:noWrap w:val="0"/>
            <w:vAlign w:val="center"/>
          </w:tcPr>
          <w:p>
            <w:pPr>
              <w:adjustRightInd w:val="0"/>
              <w:snapToGrid w:val="0"/>
              <w:spacing w:line="560" w:lineRule="exact"/>
              <w:jc w:val="center"/>
              <w:rPr>
                <w:rFonts w:hint="eastAsia" w:ascii="仿宋" w:hAnsi="仿宋" w:eastAsia="仿宋" w:cs="仿宋"/>
                <w:sz w:val="24"/>
                <w:szCs w:val="24"/>
                <w:lang w:val="zh-CN" w:eastAsia="zh-CN"/>
              </w:rPr>
            </w:pPr>
          </w:p>
        </w:tc>
        <w:tc>
          <w:tcPr>
            <w:tcW w:w="800" w:type="pct"/>
            <w:noWrap w:val="0"/>
            <w:vAlign w:val="center"/>
          </w:tcPr>
          <w:p>
            <w:pPr>
              <w:adjustRightInd w:val="0"/>
              <w:snapToGrid w:val="0"/>
              <w:spacing w:line="560" w:lineRule="exact"/>
              <w:jc w:val="center"/>
              <w:rPr>
                <w:rFonts w:hint="default" w:ascii="仿宋" w:hAnsi="仿宋" w:eastAsia="仿宋" w:cs="仿宋"/>
                <w:sz w:val="24"/>
                <w:szCs w:val="24"/>
                <w:lang w:val="en-US" w:eastAsia="zh-CN"/>
              </w:rPr>
            </w:pPr>
          </w:p>
        </w:tc>
        <w:tc>
          <w:tcPr>
            <w:tcW w:w="626" w:type="pct"/>
            <w:noWrap w:val="0"/>
            <w:vAlign w:val="center"/>
          </w:tcPr>
          <w:p>
            <w:pPr>
              <w:adjustRightInd w:val="0"/>
              <w:snapToGrid w:val="0"/>
              <w:spacing w:line="560" w:lineRule="exact"/>
              <w:jc w:val="center"/>
              <w:rPr>
                <w:rFonts w:hint="eastAsia" w:ascii="仿宋" w:hAnsi="仿宋" w:eastAsia="仿宋" w:cs="仿宋"/>
                <w:sz w:val="24"/>
                <w:szCs w:val="24"/>
                <w:lang w:val="zh-CN" w:eastAsia="zh-CN"/>
              </w:rPr>
            </w:pPr>
          </w:p>
        </w:tc>
        <w:tc>
          <w:tcPr>
            <w:tcW w:w="616" w:type="pct"/>
            <w:noWrap w:val="0"/>
            <w:vAlign w:val="center"/>
          </w:tcPr>
          <w:p>
            <w:pPr>
              <w:adjustRightInd w:val="0"/>
              <w:snapToGrid w:val="0"/>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pPr>
              <w:adjustRightInd w:val="0"/>
              <w:snapToGrid w:val="0"/>
              <w:spacing w:line="240" w:lineRule="auto"/>
              <w:jc w:val="left"/>
              <w:rPr>
                <w:rFonts w:hint="eastAsia" w:ascii="仿宋" w:hAnsi="仿宋" w:eastAsia="仿宋" w:cs="方正仿宋_GB2312"/>
                <w:b/>
                <w:sz w:val="24"/>
                <w:szCs w:val="24"/>
              </w:rPr>
            </w:pPr>
            <w:r>
              <w:rPr>
                <w:rFonts w:hint="eastAsia" w:ascii="仿宋" w:hAnsi="仿宋" w:eastAsia="仿宋" w:cs="方正仿宋_GB2312"/>
                <w:b/>
                <w:sz w:val="24"/>
                <w:szCs w:val="24"/>
              </w:rPr>
              <w:t>注：</w:t>
            </w:r>
          </w:p>
          <w:p>
            <w:pPr>
              <w:adjustRightInd w:val="0"/>
              <w:snapToGrid w:val="0"/>
              <w:spacing w:line="240" w:lineRule="auto"/>
              <w:jc w:val="left"/>
              <w:rPr>
                <w:rFonts w:hint="eastAsia" w:ascii="仿宋" w:hAnsi="仿宋" w:eastAsia="仿宋" w:cs="方正仿宋_GB2312"/>
                <w:b/>
                <w:sz w:val="24"/>
                <w:szCs w:val="24"/>
              </w:rPr>
            </w:pPr>
            <w:r>
              <w:rPr>
                <w:rFonts w:hint="eastAsia" w:ascii="仿宋" w:hAnsi="仿宋" w:eastAsia="仿宋" w:cs="方正仿宋_GB2312"/>
                <w:b/>
                <w:sz w:val="24"/>
                <w:szCs w:val="24"/>
              </w:rPr>
              <w:t>1.人员必须分别设置，不得交叉任职。</w:t>
            </w:r>
          </w:p>
          <w:p>
            <w:pPr>
              <w:adjustRightInd w:val="0"/>
              <w:snapToGrid w:val="0"/>
              <w:spacing w:line="240" w:lineRule="auto"/>
              <w:jc w:val="left"/>
              <w:rPr>
                <w:rFonts w:hint="eastAsia" w:ascii="仿宋" w:hAnsi="仿宋" w:eastAsia="仿宋" w:cs="方正仿宋_GB2312"/>
                <w:sz w:val="24"/>
                <w:szCs w:val="24"/>
              </w:rPr>
            </w:pPr>
            <w:r>
              <w:rPr>
                <w:rFonts w:hint="eastAsia" w:ascii="仿宋" w:hAnsi="仿宋" w:eastAsia="仿宋" w:cs="方正仿宋_GB2312"/>
                <w:b/>
                <w:sz w:val="24"/>
                <w:szCs w:val="24"/>
              </w:rPr>
              <w:t>2.投标文件中须提供为本项目配备上述人员的证书及2024年1月1日以来，投标人为上述人员缴纳的任意连续3个月的社保证明材料（任意险种），否则作无效标处理。</w:t>
            </w:r>
          </w:p>
        </w:tc>
      </w:tr>
    </w:tbl>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2.投标人必须书面承诺，所配备的人员，能到现场服务，否则作无效标处理。投标人应根据项目情况，配备相关专业人员（填写人员配备表）。</w:t>
      </w:r>
    </w:p>
    <w:p>
      <w:pPr>
        <w:pStyle w:val="2"/>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（四）考核要求</w:t>
      </w:r>
    </w:p>
    <w:p>
      <w:pPr>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按照招标文件中要求进行驻点运维服务项目考核。</w:t>
      </w:r>
    </w:p>
    <w:p>
      <w:pPr>
        <w:pStyle w:val="2"/>
        <w:numPr>
          <w:ilvl w:val="0"/>
          <w:numId w:val="0"/>
        </w:numPr>
        <w:ind w:left="420" w:leftChars="200" w:firstLine="0" w:firstLineChars="0"/>
        <w:rPr>
          <w:rFonts w:hint="eastAsia" w:ascii="仿宋" w:hAnsi="仿宋" w:eastAsia="仿宋" w:cs="仿宋"/>
          <w:b/>
          <w:bCs/>
          <w:sz w:val="28"/>
          <w:szCs w:val="28"/>
        </w:rPr>
      </w:pPr>
      <w:r>
        <w:rPr>
          <w:rFonts w:hint="eastAsia" w:ascii="仿宋" w:hAnsi="仿宋" w:eastAsia="仿宋" w:cs="仿宋"/>
          <w:b/>
          <w:bCs w:val="0"/>
          <w:sz w:val="28"/>
          <w:szCs w:val="28"/>
        </w:rPr>
        <w:t>六、商务部分调研【</w:t>
      </w:r>
      <w:r>
        <w:rPr>
          <w:rFonts w:hint="eastAsia" w:ascii="仿宋" w:hAnsi="仿宋" w:eastAsia="仿宋" w:cs="仿宋"/>
          <w:b/>
          <w:bCs w:val="0"/>
          <w:sz w:val="28"/>
          <w:szCs w:val="28"/>
          <w:lang w:val="en-US" w:eastAsia="zh-CN"/>
        </w:rPr>
        <w:t>各</w:t>
      </w:r>
      <w:r>
        <w:rPr>
          <w:rFonts w:hint="eastAsia" w:ascii="仿宋" w:hAnsi="仿宋" w:eastAsia="仿宋" w:cs="仿宋"/>
          <w:b/>
          <w:bCs w:val="0"/>
          <w:sz w:val="28"/>
          <w:szCs w:val="28"/>
        </w:rPr>
        <w:t>单</w:t>
      </w:r>
      <w:r>
        <w:rPr>
          <w:rFonts w:hint="eastAsia" w:ascii="仿宋" w:hAnsi="仿宋" w:eastAsia="仿宋" w:cs="仿宋"/>
          <w:b/>
          <w:bCs/>
          <w:sz w:val="28"/>
          <w:szCs w:val="28"/>
        </w:rPr>
        <w:t>位请根据本单位实际情况填写】</w:t>
      </w:r>
    </w:p>
    <w:p>
      <w:pPr>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1.投标人综合实力</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投标供应商具有具有经中国国家认证认可监督管理委员会认证机构颁发的有效期内的质量管理体系认证、职业健康安全管理体系认证、售后服务相关体系认证、信息技术服务管理体系认证、信息安全管理体系认证的资质</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lang w:val="en-US" w:eastAsia="zh-CN" w:bidi="ar-SA"/>
        </w:rPr>
        <w:t>（2）投标供应商具有信息技术服务运行维护标准（ITSS）资质二级资质</w:t>
      </w:r>
      <w:r>
        <w:rPr>
          <w:rFonts w:hint="eastAsia" w:ascii="仿宋" w:hAnsi="仿宋" w:eastAsia="仿宋" w:cs="仿宋"/>
          <w:color w:val="000000"/>
          <w:kern w:val="2"/>
          <w:sz w:val="28"/>
          <w:szCs w:val="28"/>
          <w:u w:val="single"/>
          <w:lang w:val="en-US" w:eastAsia="zh-CN" w:bidi="ar-SA"/>
        </w:rPr>
        <w:t xml:space="preserve"> </w:t>
      </w:r>
      <w:bookmarkStart w:id="0" w:name="_GoBack"/>
      <w:bookmarkEnd w:id="0"/>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kern w:val="2"/>
          <w:sz w:val="28"/>
          <w:szCs w:val="28"/>
          <w:u w:val="single"/>
          <w:lang w:val="en-US" w:eastAsia="zh-CN" w:bidi="ar-SA"/>
        </w:rPr>
      </w:pPr>
      <w:r>
        <w:rPr>
          <w:rFonts w:hint="eastAsia" w:ascii="仿宋" w:hAnsi="仿宋" w:eastAsia="仿宋" w:cs="仿宋"/>
          <w:color w:val="000000"/>
          <w:kern w:val="2"/>
          <w:sz w:val="28"/>
          <w:szCs w:val="28"/>
          <w:lang w:val="en-US" w:eastAsia="zh-CN" w:bidi="ar-SA"/>
        </w:rPr>
        <w:t>（3）投标供应商具有具有信息系统建设和服务能力资质四级资质</w:t>
      </w:r>
      <w:r>
        <w:rPr>
          <w:rFonts w:hint="eastAsia" w:ascii="仿宋" w:hAnsi="仿宋" w:eastAsia="仿宋" w:cs="仿宋"/>
          <w:color w:val="000000"/>
          <w:kern w:val="2"/>
          <w:sz w:val="28"/>
          <w:szCs w:val="28"/>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0" w:hanging="560" w:hanging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投标供应商具有信息系统安全集成服务资质证书一级资质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注：调研文件中提供上述证书扫描件。</w:t>
      </w:r>
    </w:p>
    <w:p>
      <w:pPr>
        <w:numPr>
          <w:ilvl w:val="0"/>
          <w:numId w:val="0"/>
        </w:num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2.服务团队成员资质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（1）投标供应商配备运维经理具有工业和信息化部电子工业标准化研究院、国家信息技术服务标准工作组颁发的IT服务项目经理认证证书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pPr>
        <w:bidi w:val="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（2）投标供应商其它运维人员具有中华人民共和国人力资源和社会保障部、工业和信息化部批准颁发的网络工程师认证证书证书</w:t>
      </w:r>
      <w:r>
        <w:rPr>
          <w:rFonts w:hint="eastAsia" w:ascii="仿宋" w:hAnsi="仿宋" w:eastAsia="仿宋" w:cs="仿宋"/>
          <w:color w:val="000000"/>
          <w:kern w:val="2"/>
          <w:sz w:val="28"/>
          <w:szCs w:val="28"/>
          <w:u w:val="single"/>
          <w:lang w:val="en-US" w:eastAsia="zh-CN" w:bidi="ar-SA"/>
        </w:rPr>
        <w:t xml:space="preserve">    个</w:t>
      </w:r>
    </w:p>
    <w:p>
      <w:pPr>
        <w:bidi w:val="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lang w:val="en-US" w:eastAsia="zh-CN" w:bidi="ar-SA"/>
        </w:rPr>
        <w:t>（3）投标供应商具有中华人民共和国人力资源和社会保障部、工业和信息化部批准颁发的信息系统项目管理师认证证书证书</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pPr>
        <w:bidi w:val="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 xml:space="preserve">注：同一人具有多个证书不可重复计分，调研文件中须同时提供： </w:t>
      </w:r>
    </w:p>
    <w:p>
      <w:pPr>
        <w:bidi w:val="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1）人员证书扫描件；</w:t>
      </w:r>
    </w:p>
    <w:p>
      <w:pPr>
        <w:bidi w:val="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2）供应商为上述人员缴纳的近6个月内（任意连续3个月，若投标人成立不足3个月，提供1个月社保证明）的社保证明材料，社保证明材料形式详见第二章投标人须知前附表（提供任意五险之一的社保缴纳证明即可）。</w:t>
      </w:r>
    </w:p>
    <w:p>
      <w:pPr>
        <w:numPr>
          <w:ilvl w:val="0"/>
          <w:numId w:val="0"/>
        </w:numPr>
        <w:ind w:left="0" w:leftChars="0"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3.投标人业绩</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lang w:val="en-US" w:eastAsia="zh-CN" w:bidi="ar-SA"/>
        </w:rPr>
        <w:t>自2021年1月1日以来，供应商具有校园多媒体教室（智慧教室）安装业绩或运维业绩案例</w:t>
      </w:r>
      <w:r>
        <w:rPr>
          <w:rFonts w:hint="eastAsia" w:ascii="仿宋" w:hAnsi="仿宋" w:eastAsia="仿宋" w:cs="仿宋"/>
          <w:color w:val="000000"/>
          <w:kern w:val="2"/>
          <w:sz w:val="28"/>
          <w:szCs w:val="28"/>
          <w:u w:val="single"/>
          <w:lang w:val="en-US" w:eastAsia="zh-CN" w:bidi="ar-SA"/>
        </w:rPr>
        <w:t xml:space="preserve">        </w:t>
      </w:r>
      <w:r>
        <w:rPr>
          <w:rFonts w:hint="eastAsia" w:ascii="仿宋" w:hAnsi="仿宋" w:eastAsia="仿宋" w:cs="仿宋"/>
          <w:color w:val="000000"/>
          <w:kern w:val="2"/>
          <w:sz w:val="28"/>
          <w:szCs w:val="28"/>
          <w:u w:val="none"/>
          <w:lang w:val="en-US" w:eastAsia="zh-CN" w:bidi="ar-SA"/>
        </w:rPr>
        <w:t>个。</w:t>
      </w:r>
    </w:p>
    <w:p>
      <w:pPr>
        <w:bidi w:val="0"/>
        <w:rPr>
          <w:rFonts w:hint="default" w:ascii="仿宋" w:hAnsi="仿宋" w:eastAsia="仿宋" w:cs="仿宋"/>
          <w:b/>
          <w:bCs/>
          <w:color w:val="000000"/>
          <w:kern w:val="2"/>
          <w:sz w:val="28"/>
          <w:szCs w:val="28"/>
          <w:lang w:val="en-US" w:eastAsia="zh-CN" w:bidi="ar-SA"/>
        </w:rPr>
      </w:pPr>
      <w:r>
        <w:rPr>
          <w:rFonts w:hint="default" w:ascii="仿宋" w:hAnsi="仿宋" w:eastAsia="仿宋" w:cs="仿宋"/>
          <w:b/>
          <w:bCs/>
          <w:color w:val="000000"/>
          <w:kern w:val="2"/>
          <w:sz w:val="28"/>
          <w:szCs w:val="28"/>
          <w:lang w:val="en-US" w:eastAsia="zh-CN" w:bidi="ar-SA"/>
        </w:rPr>
        <w:t>注：</w:t>
      </w:r>
      <w:r>
        <w:rPr>
          <w:rFonts w:hint="eastAsia" w:ascii="仿宋" w:hAnsi="仿宋" w:eastAsia="仿宋" w:cs="仿宋"/>
          <w:b/>
          <w:bCs/>
          <w:color w:val="000000"/>
          <w:kern w:val="2"/>
          <w:sz w:val="28"/>
          <w:szCs w:val="28"/>
          <w:lang w:val="en-US" w:eastAsia="zh-CN" w:bidi="ar-SA"/>
        </w:rPr>
        <w:t>调研</w:t>
      </w:r>
      <w:r>
        <w:rPr>
          <w:rFonts w:hint="default" w:ascii="仿宋" w:hAnsi="仿宋" w:eastAsia="仿宋" w:cs="仿宋"/>
          <w:b/>
          <w:bCs/>
          <w:color w:val="000000"/>
          <w:kern w:val="2"/>
          <w:sz w:val="28"/>
          <w:szCs w:val="28"/>
          <w:lang w:val="en-US" w:eastAsia="zh-CN" w:bidi="ar-SA"/>
        </w:rPr>
        <w:t>文件中同时提供：</w:t>
      </w:r>
    </w:p>
    <w:p>
      <w:pPr>
        <w:bidi w:val="0"/>
        <w:rPr>
          <w:rFonts w:hint="default" w:ascii="仿宋" w:hAnsi="仿宋" w:eastAsia="仿宋" w:cs="仿宋"/>
          <w:b/>
          <w:bCs/>
          <w:color w:val="000000"/>
          <w:kern w:val="2"/>
          <w:sz w:val="28"/>
          <w:szCs w:val="28"/>
          <w:lang w:val="en-US" w:eastAsia="zh-CN" w:bidi="ar-SA"/>
        </w:rPr>
      </w:pPr>
      <w:r>
        <w:rPr>
          <w:rFonts w:hint="default" w:ascii="仿宋" w:hAnsi="仿宋" w:eastAsia="仿宋" w:cs="仿宋"/>
          <w:b/>
          <w:bCs/>
          <w:color w:val="000000"/>
          <w:kern w:val="2"/>
          <w:sz w:val="28"/>
          <w:szCs w:val="28"/>
          <w:lang w:val="en-US" w:eastAsia="zh-CN" w:bidi="ar-SA"/>
        </w:rPr>
        <w:t>1）中标通知书或中标网站链接、业绩合同扫描件或影印件；</w:t>
      </w:r>
    </w:p>
    <w:p>
      <w:pPr>
        <w:bidi w:val="0"/>
        <w:rPr>
          <w:rFonts w:hint="default" w:ascii="仿宋" w:hAnsi="仿宋" w:eastAsia="仿宋" w:cs="仿宋"/>
          <w:b/>
          <w:bCs/>
          <w:color w:val="000000"/>
          <w:kern w:val="2"/>
          <w:sz w:val="28"/>
          <w:szCs w:val="28"/>
          <w:lang w:val="en-US" w:eastAsia="zh-CN" w:bidi="ar-SA"/>
        </w:rPr>
      </w:pPr>
      <w:r>
        <w:rPr>
          <w:rFonts w:hint="default" w:ascii="仿宋" w:hAnsi="仿宋" w:eastAsia="仿宋" w:cs="仿宋"/>
          <w:b/>
          <w:bCs/>
          <w:color w:val="000000"/>
          <w:kern w:val="2"/>
          <w:sz w:val="28"/>
          <w:szCs w:val="28"/>
          <w:lang w:val="en-US" w:eastAsia="zh-CN" w:bidi="ar-SA"/>
        </w:rPr>
        <w:t>2）如提供的上述材料无法体现合同类别、合同签订时间等关键信息的，须另附业主单位提供的相关证明材料，否则不得分。</w:t>
      </w:r>
    </w:p>
    <w:p>
      <w:pPr>
        <w:pStyle w:val="2"/>
        <w:rPr>
          <w:rFonts w:hint="eastAsia" w:ascii="仿宋" w:hAnsi="仿宋" w:eastAsia="仿宋" w:cs="仿宋"/>
          <w:sz w:val="28"/>
          <w:szCs w:val="28"/>
          <w:lang w:val="en-US" w:eastAsia="zh-CN"/>
        </w:rPr>
      </w:pPr>
      <w:r>
        <w:rPr>
          <w:rFonts w:hint="eastAsia" w:ascii="仿宋" w:hAnsi="仿宋" w:eastAsia="仿宋" w:cs="仿宋"/>
          <w:b/>
          <w:bCs/>
          <w:sz w:val="28"/>
          <w:szCs w:val="28"/>
        </w:rPr>
        <w:t>七、其他方面的建议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E30586-EC55-447C-9E95-7E1F3F5C3B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3F0A1A70-C64E-4A20-8FE4-C19D7347FEEA}"/>
  </w:font>
  <w:font w:name="微软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EBEBAFF3-B1D2-49D4-8B35-E04F2547CA11}"/>
  </w:font>
  <w:font w:name="仿宋_GB2312">
    <w:altName w:val="仿宋"/>
    <w:panose1 w:val="02010609030101010101"/>
    <w:charset w:val="86"/>
    <w:family w:val="auto"/>
    <w:pitch w:val="default"/>
    <w:sig w:usb0="00000000" w:usb1="00000000" w:usb2="00000000" w:usb3="00000000" w:csb0="00040000" w:csb1="00000000"/>
    <w:embedRegular r:id="rId4" w:fontKey="{3C9D283B-661A-4A73-BCC4-5A26EE48E74F}"/>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5F4A2"/>
    <w:multiLevelType w:val="multilevel"/>
    <w:tmpl w:val="ED65F4A2"/>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suff w:val="nothing"/>
      <w:lvlText w:val="%1.%2."/>
      <w:lvlJc w:val="left"/>
      <w:pPr>
        <w:tabs>
          <w:tab w:val="left" w:pos="420"/>
        </w:tabs>
        <w:ind w:left="575" w:hanging="575"/>
      </w:pPr>
      <w:rPr>
        <w:rFonts w:hint="eastAsia" w:ascii="宋体" w:hAnsi="宋体" w:eastAsia="宋体" w:cs="宋体"/>
      </w:rPr>
    </w:lvl>
    <w:lvl w:ilvl="2" w:tentative="0">
      <w:start w:val="1"/>
      <w:numFmt w:val="decimal"/>
      <w:pStyle w:val="5"/>
      <w:isLgl/>
      <w:suff w:val="nothing"/>
      <w:lvlText w:val="%1.%2.%3."/>
      <w:lvlJc w:val="left"/>
      <w:pPr>
        <w:tabs>
          <w:tab w:val="left" w:pos="420"/>
        </w:tabs>
        <w:ind w:left="720" w:hanging="720"/>
      </w:pPr>
      <w:rPr>
        <w:rFonts w:hint="eastAsia" w:ascii="宋体" w:hAnsi="宋体" w:eastAsia="宋体" w:cs="宋体"/>
      </w:rPr>
    </w:lvl>
    <w:lvl w:ilvl="3" w:tentative="0">
      <w:start w:val="1"/>
      <w:numFmt w:val="decimal"/>
      <w:isLgl/>
      <w:suff w:val="nothing"/>
      <w:lvlText w:val="%1.%2.%3.%4."/>
      <w:lvlJc w:val="left"/>
      <w:pPr>
        <w:tabs>
          <w:tab w:val="left" w:pos="420"/>
        </w:tabs>
        <w:ind w:left="864" w:hanging="864"/>
      </w:pPr>
      <w:rPr>
        <w:rFonts w:hint="eastAsia" w:ascii="宋体" w:hAnsi="宋体" w:eastAsia="宋体" w:cs="宋体"/>
      </w:rPr>
    </w:lvl>
    <w:lvl w:ilvl="4" w:tentative="0">
      <w:start w:val="1"/>
      <w:numFmt w:val="decimal"/>
      <w:isLgl/>
      <w:suff w:val="nothing"/>
      <w:lvlText w:val="%1.%2.%3.%4.%5."/>
      <w:lvlJc w:val="left"/>
      <w:pPr>
        <w:tabs>
          <w:tab w:val="left" w:pos="420"/>
        </w:tabs>
        <w:ind w:left="1008" w:hanging="1008"/>
      </w:pPr>
      <w:rPr>
        <w:rFonts w:hint="eastAsia" w:ascii="宋体" w:hAnsi="宋体" w:eastAsia="宋体" w:cs="宋体"/>
      </w:rPr>
    </w:lvl>
    <w:lvl w:ilvl="5" w:tentative="0">
      <w:start w:val="1"/>
      <w:numFmt w:val="decimal"/>
      <w:isLgl/>
      <w:suff w:val="nothing"/>
      <w:lvlText w:val="%1.%2.%3.%4.%5.%6."/>
      <w:lvlJc w:val="left"/>
      <w:pPr>
        <w:tabs>
          <w:tab w:val="left" w:pos="420"/>
        </w:tabs>
        <w:ind w:left="1151" w:hanging="1151"/>
      </w:pPr>
      <w:rPr>
        <w:rFonts w:hint="eastAsia" w:ascii="宋体" w:hAnsi="宋体" w:eastAsia="宋体" w:cs="宋体"/>
      </w:rPr>
    </w:lvl>
    <w:lvl w:ilvl="6" w:tentative="0">
      <w:start w:val="1"/>
      <w:numFmt w:val="decimal"/>
      <w:isLgl/>
      <w:suff w:val="nothing"/>
      <w:lvlText w:val="%1.%2.%3.%4.%5.%6.%7."/>
      <w:lvlJc w:val="left"/>
      <w:pPr>
        <w:tabs>
          <w:tab w:val="left" w:pos="420"/>
        </w:tabs>
        <w:ind w:left="1296" w:hanging="1296"/>
      </w:pPr>
      <w:rPr>
        <w:rFonts w:hint="eastAsia" w:ascii="宋体" w:hAnsi="宋体" w:eastAsia="宋体" w:cs="宋体"/>
      </w:rPr>
    </w:lvl>
    <w:lvl w:ilvl="7" w:tentative="0">
      <w:start w:val="1"/>
      <w:numFmt w:val="decimal"/>
      <w:isLgl/>
      <w:lvlText w:val="%1.%2.%3.%4.%5.%6.%7.%8."/>
      <w:lvlJc w:val="left"/>
      <w:pPr>
        <w:ind w:left="1440" w:hanging="1440"/>
      </w:pPr>
      <w:rPr>
        <w:rFonts w:hint="eastAsia" w:ascii="宋体" w:hAnsi="宋体" w:eastAsia="宋体" w:cs="宋体"/>
      </w:rPr>
    </w:lvl>
    <w:lvl w:ilvl="8" w:tentative="0">
      <w:start w:val="1"/>
      <w:numFmt w:val="decimal"/>
      <w:lvlText w:val="%1.%2.%3.%4.%5.%6.%7.%8.%9."/>
      <w:lvlJc w:val="left"/>
      <w:pPr>
        <w:ind w:left="1583" w:hanging="1583"/>
      </w:pPr>
      <w:rPr>
        <w:rFonts w:hint="eastAsia"/>
      </w:rPr>
    </w:lvl>
  </w:abstractNum>
  <w:abstractNum w:abstractNumId="1">
    <w:nsid w:val="11837BCC"/>
    <w:multiLevelType w:val="singleLevel"/>
    <w:tmpl w:val="11837BC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ZmY1ZGJkYzAyYjQxOGZlMTE1MTk3ODY1MmNmOTIifQ=="/>
  </w:docVars>
  <w:rsids>
    <w:rsidRoot w:val="00000000"/>
    <w:rsid w:val="00B66ACB"/>
    <w:rsid w:val="022D6D1F"/>
    <w:rsid w:val="05364797"/>
    <w:rsid w:val="08114BF3"/>
    <w:rsid w:val="09121ED9"/>
    <w:rsid w:val="0954361A"/>
    <w:rsid w:val="0A960E3D"/>
    <w:rsid w:val="0B323ACF"/>
    <w:rsid w:val="0C523D2B"/>
    <w:rsid w:val="0E3825D6"/>
    <w:rsid w:val="0E8A515C"/>
    <w:rsid w:val="0EF146A7"/>
    <w:rsid w:val="0F1E29AB"/>
    <w:rsid w:val="10753E24"/>
    <w:rsid w:val="110C5D35"/>
    <w:rsid w:val="11EF2B50"/>
    <w:rsid w:val="12787444"/>
    <w:rsid w:val="12B96F94"/>
    <w:rsid w:val="135E2C79"/>
    <w:rsid w:val="19744A3F"/>
    <w:rsid w:val="1A52463A"/>
    <w:rsid w:val="1A8448EE"/>
    <w:rsid w:val="1AF559C8"/>
    <w:rsid w:val="1B421536"/>
    <w:rsid w:val="1C5B1EE6"/>
    <w:rsid w:val="1C8125D6"/>
    <w:rsid w:val="1D1B6AD0"/>
    <w:rsid w:val="1EA8401C"/>
    <w:rsid w:val="1F494152"/>
    <w:rsid w:val="20E6598F"/>
    <w:rsid w:val="276A612A"/>
    <w:rsid w:val="297B1E59"/>
    <w:rsid w:val="2A486039"/>
    <w:rsid w:val="2C7072A9"/>
    <w:rsid w:val="2E1B70C4"/>
    <w:rsid w:val="2E1F2D74"/>
    <w:rsid w:val="2E6647A7"/>
    <w:rsid w:val="35597A60"/>
    <w:rsid w:val="35801486"/>
    <w:rsid w:val="36362F59"/>
    <w:rsid w:val="380674CE"/>
    <w:rsid w:val="3BB80C52"/>
    <w:rsid w:val="3D007EC3"/>
    <w:rsid w:val="3E7E4551"/>
    <w:rsid w:val="42491FBA"/>
    <w:rsid w:val="43043D8C"/>
    <w:rsid w:val="434319A5"/>
    <w:rsid w:val="45621944"/>
    <w:rsid w:val="45F12DF0"/>
    <w:rsid w:val="468544C0"/>
    <w:rsid w:val="46AB11F1"/>
    <w:rsid w:val="48040D0B"/>
    <w:rsid w:val="49B317DB"/>
    <w:rsid w:val="4B831C8E"/>
    <w:rsid w:val="4EFD4DF5"/>
    <w:rsid w:val="510E0CFA"/>
    <w:rsid w:val="530166DB"/>
    <w:rsid w:val="55672339"/>
    <w:rsid w:val="5DA31FC6"/>
    <w:rsid w:val="605E0C2A"/>
    <w:rsid w:val="63112227"/>
    <w:rsid w:val="65094504"/>
    <w:rsid w:val="68F24043"/>
    <w:rsid w:val="6BA44B8B"/>
    <w:rsid w:val="6C353187"/>
    <w:rsid w:val="6C6F33D9"/>
    <w:rsid w:val="6D5F3351"/>
    <w:rsid w:val="6F76416C"/>
    <w:rsid w:val="703025E3"/>
    <w:rsid w:val="72C306E6"/>
    <w:rsid w:val="72E225EB"/>
    <w:rsid w:val="73351CBE"/>
    <w:rsid w:val="73721B22"/>
    <w:rsid w:val="7717196B"/>
    <w:rsid w:val="77AA49AD"/>
    <w:rsid w:val="7B03098C"/>
    <w:rsid w:val="7CF624BE"/>
    <w:rsid w:val="7E21254C"/>
    <w:rsid w:val="7F39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keepNext/>
      <w:keepLines/>
      <w:numPr>
        <w:ilvl w:val="2"/>
        <w:numId w:val="1"/>
      </w:numPr>
      <w:spacing w:line="360" w:lineRule="auto"/>
      <w:ind w:left="720" w:leftChars="0" w:hanging="720" w:firstLineChars="0"/>
      <w:outlineLvl w:val="2"/>
    </w:pPr>
    <w:rPr>
      <w:rFonts w:eastAsia="宋体" w:asciiTheme="minorAscii" w:hAnsiTheme="minorAscii"/>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660"/>
    </w:pPr>
    <w:rPr>
      <w:rFonts w:ascii="微软简标宋" w:hAnsi="微软简标宋"/>
      <w:color w:val="000000"/>
      <w:sz w:val="24"/>
    </w:rPr>
  </w:style>
  <w:style w:type="paragraph" w:styleId="4">
    <w:name w:val="envelope return"/>
    <w:basedOn w:val="1"/>
    <w:qFormat/>
    <w:uiPriority w:val="0"/>
    <w:pPr>
      <w:snapToGrid w:val="0"/>
    </w:pPr>
    <w:rPr>
      <w:rFonts w:ascii="Arial" w:hAnsi="Arial"/>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4938</Words>
  <Characters>5081</Characters>
  <Lines>0</Lines>
  <Paragraphs>0</Paragraphs>
  <TotalTime>0</TotalTime>
  <ScaleCrop>false</ScaleCrop>
  <LinksUpToDate>false</LinksUpToDate>
  <CharactersWithSpaces>5164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2024-05-31T06:51:00Z</dcterms:created>
  <dc:creator>Administrator</dc:creator>
  <cp:lastModifiedBy>123</cp:lastModifiedBy>
  <dcterms:modified xsi:type="dcterms:W3CDTF">2024-07-12T05:13:21Z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19A006D1F9A24729BC337A29D8D0732E_13</vt:lpwstr>
  </property>
</Properties>
</file>