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BDE5" w14:textId="77777777" w:rsidR="00520091" w:rsidRDefault="00520091" w:rsidP="00520091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5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5F32CF4F" w14:textId="538AB905" w:rsidR="00520091" w:rsidRDefault="00520091" w:rsidP="00520091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第六届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全国大学生土地国情调查大赛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安徽建筑大学校赛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评审标准</w:t>
      </w:r>
    </w:p>
    <w:p w14:paraId="3B47F0BA" w14:textId="77777777" w:rsidR="00520091" w:rsidRDefault="00520091" w:rsidP="00520091">
      <w:pPr>
        <w:pStyle w:val="Default"/>
        <w:rPr>
          <w:rFonts w:cstheme="minorBidi"/>
          <w:color w:val="auto"/>
        </w:rPr>
      </w:pPr>
    </w:p>
    <w:p w14:paraId="51EAE00B" w14:textId="77777777" w:rsidR="00520091" w:rsidRDefault="00520091" w:rsidP="00520091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一、作品要求</w:t>
      </w:r>
    </w:p>
    <w:p w14:paraId="3AA1E2FC" w14:textId="77777777" w:rsidR="00520091" w:rsidRDefault="00520091" w:rsidP="00520091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000000" w:themeColor="text1"/>
        </w:rPr>
        <w:t>体现“</w:t>
      </w:r>
      <w:r>
        <w:rPr>
          <w:rFonts w:cstheme="minorBidi" w:hint="eastAsia"/>
          <w:color w:val="auto"/>
        </w:rPr>
        <w:t>优化土地要素配置，促进新质生产力发展</w:t>
      </w:r>
      <w:r>
        <w:rPr>
          <w:rFonts w:cstheme="minorBidi" w:hint="eastAsia"/>
          <w:color w:val="000000" w:themeColor="text1"/>
        </w:rPr>
        <w:t>”主题的</w:t>
      </w:r>
      <w:r>
        <w:rPr>
          <w:rFonts w:cstheme="minorBidi" w:hint="eastAsia"/>
          <w:color w:val="auto"/>
        </w:rPr>
        <w:t>原创作品。</w:t>
      </w:r>
    </w:p>
    <w:p w14:paraId="6F8DA0FB" w14:textId="77777777" w:rsidR="00520091" w:rsidRDefault="00520091" w:rsidP="00520091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提倡“立足前沿、以小见大、问题导向、面向社会”的创作理念。</w:t>
      </w:r>
    </w:p>
    <w:p w14:paraId="2765A94F" w14:textId="77777777" w:rsidR="00520091" w:rsidRDefault="00520091" w:rsidP="00520091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严格遵守学术道德与学术规范，不存在剽窃、抄袭、伪造、篡改等行为。</w:t>
      </w:r>
    </w:p>
    <w:p w14:paraId="021CF360" w14:textId="77777777" w:rsidR="00520091" w:rsidRDefault="00520091" w:rsidP="00520091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符合相关法律法规的要求。</w:t>
      </w:r>
    </w:p>
    <w:p w14:paraId="2BB15BC7" w14:textId="77777777" w:rsidR="00520091" w:rsidRDefault="00520091" w:rsidP="00520091">
      <w:pPr>
        <w:pStyle w:val="Default"/>
        <w:rPr>
          <w:rFonts w:cstheme="minorBidi"/>
          <w:color w:val="auto"/>
        </w:rPr>
      </w:pPr>
    </w:p>
    <w:p w14:paraId="4E1ABA16" w14:textId="77777777" w:rsidR="00520091" w:rsidRDefault="00520091" w:rsidP="00520091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二、评选原则</w:t>
      </w:r>
    </w:p>
    <w:p w14:paraId="7261B1D6" w14:textId="77777777" w:rsidR="00520091" w:rsidRDefault="00520091" w:rsidP="00520091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综合考虑作品的理论意义与现实意义。</w:t>
      </w:r>
    </w:p>
    <w:p w14:paraId="28F04266" w14:textId="77777777" w:rsidR="00520091" w:rsidRDefault="00520091" w:rsidP="00520091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重点对作品的选题价值、分析视角和分析深度评价。</w:t>
      </w:r>
    </w:p>
    <w:p w14:paraId="24300D03" w14:textId="77777777" w:rsidR="00520091" w:rsidRDefault="00520091" w:rsidP="00520091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初赛预选采取双盲评审制度与评审回避制度。</w:t>
      </w:r>
    </w:p>
    <w:p w14:paraId="626FEA47" w14:textId="77777777" w:rsidR="00520091" w:rsidRDefault="00520091" w:rsidP="00520091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决赛采取集体评审打分方式。</w:t>
      </w:r>
    </w:p>
    <w:p w14:paraId="7A7B9CDA" w14:textId="77777777" w:rsidR="00520091" w:rsidRDefault="00520091" w:rsidP="00520091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对非原创、存在学术不端、违背相关法律法规的作品一票否决。</w:t>
      </w:r>
    </w:p>
    <w:p w14:paraId="733D4915" w14:textId="77777777" w:rsidR="00520091" w:rsidRDefault="00520091" w:rsidP="00520091">
      <w:pPr>
        <w:pStyle w:val="Default"/>
        <w:rPr>
          <w:rFonts w:cstheme="minorBidi"/>
          <w:color w:val="auto"/>
        </w:rPr>
      </w:pPr>
    </w:p>
    <w:p w14:paraId="1129AE6E" w14:textId="77777777" w:rsidR="00520091" w:rsidRDefault="00520091" w:rsidP="00520091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三、评选标准</w:t>
      </w:r>
    </w:p>
    <w:p w14:paraId="071578EC" w14:textId="77777777" w:rsidR="00520091" w:rsidRDefault="00520091" w:rsidP="00520091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主题性：主题明确，紧扣大赛主题。</w:t>
      </w:r>
    </w:p>
    <w:p w14:paraId="5DCCA9BC" w14:textId="77777777" w:rsidR="00520091" w:rsidRDefault="00520091" w:rsidP="00520091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科学性：学术价值鲜明，面向理论前沿或现实需求。</w:t>
      </w:r>
    </w:p>
    <w:p w14:paraId="0F986D63" w14:textId="77777777" w:rsidR="00520091" w:rsidRDefault="00520091" w:rsidP="00520091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创新性：成果原创、特色鲜明，在选题、方法、结论等有新意。</w:t>
      </w:r>
    </w:p>
    <w:p w14:paraId="65A92B81" w14:textId="77777777" w:rsidR="00520091" w:rsidRDefault="00520091" w:rsidP="00520091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合理性：结果科学合理，数据翔实可靠、方法科学合理、结论可信。</w:t>
      </w:r>
    </w:p>
    <w:p w14:paraId="25F6EB13" w14:textId="77777777" w:rsidR="00520091" w:rsidRDefault="00520091" w:rsidP="00520091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规范性：符合学术规范，成果编排得当、引用规范。</w:t>
      </w:r>
    </w:p>
    <w:p w14:paraId="0CA5115F" w14:textId="77777777" w:rsidR="00520091" w:rsidRDefault="00520091" w:rsidP="00520091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实用性：研究意义突出，取得成果或具有发展潜力。</w:t>
      </w:r>
    </w:p>
    <w:p w14:paraId="33981858" w14:textId="77777777" w:rsidR="00520091" w:rsidRDefault="00520091" w:rsidP="00520091">
      <w:pPr>
        <w:pStyle w:val="Default"/>
        <w:spacing w:line="360" w:lineRule="auto"/>
        <w:rPr>
          <w:rFonts w:cstheme="minorBidi"/>
          <w:color w:val="auto"/>
        </w:rPr>
      </w:pPr>
    </w:p>
    <w:p w14:paraId="6CEAAF99" w14:textId="77777777" w:rsidR="00520091" w:rsidRDefault="00520091" w:rsidP="00520091">
      <w:pPr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025F734D" w14:textId="77777777" w:rsidR="00520091" w:rsidRDefault="00520091" w:rsidP="00520091">
      <w:pPr>
        <w:pStyle w:val="CM14"/>
        <w:snapToGrid w:val="0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四、参赛作品评分表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2602"/>
        <w:gridCol w:w="860"/>
        <w:gridCol w:w="2917"/>
        <w:gridCol w:w="1793"/>
      </w:tblGrid>
      <w:tr w:rsidR="00520091" w14:paraId="468A413A" w14:textId="77777777" w:rsidTr="003E0242">
        <w:trPr>
          <w:trHeight w:val="198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080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序号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7B3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评分项目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E3E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分值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ABE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评分等级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93B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得分</w:t>
            </w:r>
          </w:p>
        </w:tc>
      </w:tr>
      <w:tr w:rsidR="00520091" w14:paraId="61B34626" w14:textId="77777777" w:rsidTr="003E0242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5352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5B06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选题得当，紧扣主旨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E1E7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7F0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优秀（9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0分）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D8B3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0F4E084C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195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3E9E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1582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899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B69F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4C6AC406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108F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2F9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8ACB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C1C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5765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847E16A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EE5C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20E1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23E9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612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7B1A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63396AEE" w14:textId="77777777" w:rsidTr="003E0242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5AE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A19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643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C7E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33D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0529482" w14:textId="77777777" w:rsidTr="003E0242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8132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3838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立足前沿，面向需求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8B88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72D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DE7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41AABDD5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7F19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B970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CCBD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E63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00D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5AAF4B34" w14:textId="77777777" w:rsidTr="003E0242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159E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32F1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1567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3BB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D56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0003D760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4E1E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C51B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77C5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416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468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52D7E73A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31C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5A9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47B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BBA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BC4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472E3FF8" w14:textId="77777777" w:rsidTr="003E0242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E8A7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1D9E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特色鲜明，体现创新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07BD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68C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B3E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29E4B48E" w14:textId="77777777" w:rsidTr="003E0242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8D69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D8CB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B255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2A2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7A3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0AE62788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741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6762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F3BB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9FE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C17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518542D1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73C3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DB91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34AA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B11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2B2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70514F79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1DC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0FB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A57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A11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E26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0DD2FDC" w14:textId="77777777" w:rsidTr="003E0242">
        <w:trPr>
          <w:trHeight w:val="20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2CEC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A402B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基础扎实，思路明确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8C62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7FD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5C1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01765BCD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1B94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EA98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A386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55C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94E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34ED3CAA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C75B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570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293D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C85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7E6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C3405F1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D1A5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8CB4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C5CA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736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C5E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2C6752EA" w14:textId="77777777" w:rsidTr="003E0242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B74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137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685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D75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543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D0DF382" w14:textId="77777777" w:rsidTr="003E0242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4B6C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5772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数据详实，方法得当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8816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712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025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A90AA13" w14:textId="77777777" w:rsidTr="003E0242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3956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7355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6D2F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ADE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AFB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5BDF0F92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9482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21BA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B5F1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8AA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7F4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66A2D0A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532E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E79B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1663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E69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A81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71EA5F77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9DA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819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054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3E9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4A3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7B217E4E" w14:textId="77777777" w:rsidTr="003E0242">
        <w:trPr>
          <w:trHeight w:val="20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D495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4A62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结论可靠，意义突出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68AB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88C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DB18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52A69BE9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781E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04A3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C407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650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9CBA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02583488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8161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4E93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2DF6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741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08CD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66B667CC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3F4C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1AEE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F275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892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FB31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F7E329B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F34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891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135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B2F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919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6447C7B2" w14:textId="77777777" w:rsidTr="003E0242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68305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4214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编排合理，图表规范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D4AD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7D0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5A0D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F64A50F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4D9F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AF06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4D204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CB4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93FE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6DB04EA1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CEFC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6F85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D5A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574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3AA7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160AE6E3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572C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1BCC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3C86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F48E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1BCF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37CCF0F2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4AE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B7A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B0E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8EB1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E5C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70B982E2" w14:textId="77777777" w:rsidTr="003E0242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436F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DDE1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汇报清晰，展示生动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E57A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4ACD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3900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6B662CE2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EFB3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8EC4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C9A6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805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46D6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7EE5E923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4CED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FE7F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20095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53E3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7D366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27B4A763" w14:textId="77777777" w:rsidTr="003E0242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DD1E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B9F2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5997F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806C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15632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0BA9A22E" w14:textId="77777777" w:rsidTr="003E0242">
        <w:trPr>
          <w:trHeight w:val="6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5808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074B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A0A9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5A20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323A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20091" w14:paraId="75587975" w14:textId="77777777" w:rsidTr="003E0242">
        <w:trPr>
          <w:trHeight w:val="39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80A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总分</w:t>
            </w:r>
          </w:p>
        </w:tc>
        <w:tc>
          <w:tcPr>
            <w:tcW w:w="8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3427" w14:textId="77777777" w:rsidR="00520091" w:rsidRDefault="00520091" w:rsidP="003E024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</w:tbl>
    <w:p w14:paraId="055E7ADB" w14:textId="77777777" w:rsidR="00503252" w:rsidRPr="00520091" w:rsidRDefault="00503252" w:rsidP="00520091">
      <w:pPr>
        <w:rPr>
          <w:rFonts w:hint="eastAsia"/>
        </w:rPr>
      </w:pPr>
    </w:p>
    <w:sectPr w:rsidR="00503252" w:rsidRPr="00520091" w:rsidSect="005200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C6CC" w14:textId="77777777" w:rsidR="00563D80" w:rsidRDefault="00563D80" w:rsidP="00F9472E">
      <w:r>
        <w:separator/>
      </w:r>
    </w:p>
  </w:endnote>
  <w:endnote w:type="continuationSeparator" w:id="0">
    <w:p w14:paraId="16A50D46" w14:textId="77777777" w:rsidR="00563D80" w:rsidRDefault="00563D80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AD65" w14:textId="77777777" w:rsidR="00563D80" w:rsidRDefault="00563D80" w:rsidP="00F9472E">
      <w:r>
        <w:separator/>
      </w:r>
    </w:p>
  </w:footnote>
  <w:footnote w:type="continuationSeparator" w:id="0">
    <w:p w14:paraId="605992FC" w14:textId="77777777" w:rsidR="00563D80" w:rsidRDefault="00563D80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27538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0091"/>
    <w:rsid w:val="005227E5"/>
    <w:rsid w:val="00526A96"/>
    <w:rsid w:val="00533038"/>
    <w:rsid w:val="005511E2"/>
    <w:rsid w:val="005526E0"/>
    <w:rsid w:val="005554BE"/>
    <w:rsid w:val="00562C3C"/>
    <w:rsid w:val="00563D80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E0C00"/>
    <w:rsid w:val="00AF48F7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2A3A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B59E2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玉纯 王</cp:lastModifiedBy>
  <cp:revision>25</cp:revision>
  <cp:lastPrinted>2021-07-26T02:26:00Z</cp:lastPrinted>
  <dcterms:created xsi:type="dcterms:W3CDTF">2023-06-05T03:03:00Z</dcterms:created>
  <dcterms:modified xsi:type="dcterms:W3CDTF">2024-05-16T10:35:00Z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